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DB5E20">
      <w:pPr>
        <w:spacing w:before="0" w:after="0" w:line="360" w:lineRule="auto"/>
        <w:ind w:firstLine="0"/>
      </w:pPr>
    </w:p>
    <w:p w14:paraId="07E21707">
      <w:pPr>
        <w:spacing w:before="0" w:after="0" w:line="360" w:lineRule="auto"/>
        <w:ind w:firstLine="0"/>
      </w:pPr>
    </w:p>
    <w:p w14:paraId="41EAC8EA">
      <w:pPr>
        <w:spacing w:before="0" w:after="0" w:line="360" w:lineRule="auto"/>
        <w:ind w:firstLine="0"/>
      </w:pPr>
    </w:p>
    <w:p w14:paraId="798187A9">
      <w:pPr>
        <w:spacing w:before="0" w:after="0" w:line="360" w:lineRule="auto"/>
        <w:ind w:firstLine="0"/>
      </w:pPr>
    </w:p>
    <w:p w14:paraId="078656C5">
      <w:pPr>
        <w:spacing w:before="0" w:after="360" w:line="360" w:lineRule="auto"/>
        <w:ind w:firstLine="0"/>
        <w:jc w:val="center"/>
      </w:pPr>
      <w:r>
        <w:rPr>
          <w:rFonts w:ascii="Times New Roman" w:hAnsi="Times New Roman" w:eastAsia="黑体"/>
          <w:b/>
          <w:sz w:val="36"/>
        </w:rPr>
        <w:t>合肥南方物流发展有限公司</w:t>
      </w:r>
    </w:p>
    <w:p w14:paraId="58D8CA12">
      <w:pPr>
        <w:spacing w:before="0" w:after="360" w:line="360" w:lineRule="auto"/>
        <w:ind w:firstLine="0"/>
        <w:jc w:val="center"/>
      </w:pPr>
      <w:r>
        <w:rPr>
          <w:rFonts w:ascii="Times New Roman" w:hAnsi="Times New Roman" w:eastAsia="黑体"/>
          <w:b/>
          <w:sz w:val="36"/>
        </w:rPr>
        <w:t>宿舍家具租赁服务采购项目</w:t>
      </w:r>
    </w:p>
    <w:p w14:paraId="031DBE32">
      <w:pPr>
        <w:spacing w:before="0" w:after="0" w:line="360" w:lineRule="auto"/>
        <w:ind w:firstLine="0"/>
      </w:pPr>
    </w:p>
    <w:p w14:paraId="49F58187">
      <w:pPr>
        <w:spacing w:before="0" w:after="480" w:line="360" w:lineRule="auto"/>
        <w:ind w:firstLine="0"/>
        <w:jc w:val="center"/>
      </w:pPr>
      <w:r>
        <w:rPr>
          <w:rFonts w:hint="eastAsia" w:eastAsia="黑体"/>
          <w:b/>
          <w:sz w:val="44"/>
          <w:lang w:eastAsia="zh-CN"/>
        </w:rPr>
        <w:t>询比</w:t>
      </w:r>
      <w:r>
        <w:rPr>
          <w:rFonts w:ascii="Times New Roman" w:hAnsi="Times New Roman" w:eastAsia="黑体"/>
          <w:b/>
          <w:sz w:val="44"/>
        </w:rPr>
        <w:t xml:space="preserve"> 文 件</w:t>
      </w:r>
    </w:p>
    <w:p w14:paraId="5BAD49BD">
      <w:pPr>
        <w:spacing w:before="0" w:after="0" w:line="360" w:lineRule="auto"/>
        <w:ind w:firstLine="0"/>
      </w:pPr>
    </w:p>
    <w:p w14:paraId="05688BFB">
      <w:pPr>
        <w:spacing w:before="0" w:after="0" w:line="360" w:lineRule="auto"/>
        <w:ind w:firstLine="0"/>
      </w:pPr>
    </w:p>
    <w:p w14:paraId="75BF9785">
      <w:pPr>
        <w:spacing w:before="0" w:after="0" w:line="360" w:lineRule="auto"/>
        <w:ind w:firstLine="0"/>
      </w:pPr>
    </w:p>
    <w:p w14:paraId="314AAA22">
      <w:pPr>
        <w:spacing w:before="0" w:after="0" w:line="360" w:lineRule="auto"/>
        <w:ind w:firstLine="0"/>
      </w:pPr>
    </w:p>
    <w:p w14:paraId="04155B6A">
      <w:pPr>
        <w:spacing w:before="0" w:after="0" w:line="360" w:lineRule="auto"/>
        <w:ind w:firstLine="0"/>
      </w:pPr>
    </w:p>
    <w:p w14:paraId="5DC41FB3">
      <w:pPr>
        <w:spacing w:before="0" w:after="0" w:line="360" w:lineRule="auto"/>
        <w:ind w:firstLine="0"/>
      </w:pPr>
    </w:p>
    <w:p w14:paraId="50C18AEF">
      <w:pPr>
        <w:spacing w:before="0" w:after="0" w:line="360" w:lineRule="auto"/>
        <w:ind w:firstLine="0"/>
        <w:jc w:val="center"/>
      </w:pPr>
      <w:r>
        <w:rPr>
          <w:rFonts w:hint="eastAsia" w:eastAsia="仿宋"/>
          <w:b w:val="0"/>
          <w:sz w:val="28"/>
          <w:lang w:eastAsia="zh-CN"/>
        </w:rPr>
        <w:t>采</w:t>
      </w:r>
      <w:r>
        <w:rPr>
          <w:rFonts w:hint="eastAsia" w:eastAsia="仿宋"/>
          <w:b w:val="0"/>
          <w:sz w:val="28"/>
          <w:lang w:val="en-US" w:eastAsia="zh-CN"/>
        </w:rPr>
        <w:t xml:space="preserve"> </w:t>
      </w:r>
      <w:r>
        <w:rPr>
          <w:rFonts w:hint="eastAsia" w:eastAsia="仿宋"/>
          <w:b w:val="0"/>
          <w:sz w:val="28"/>
          <w:lang w:eastAsia="zh-CN"/>
        </w:rPr>
        <w:t>购</w:t>
      </w:r>
      <w:r>
        <w:rPr>
          <w:rFonts w:hint="eastAsia" w:eastAsia="仿宋"/>
          <w:b w:val="0"/>
          <w:sz w:val="28"/>
          <w:lang w:val="en-US" w:eastAsia="zh-CN"/>
        </w:rPr>
        <w:t xml:space="preserve"> </w:t>
      </w:r>
      <w:r>
        <w:rPr>
          <w:rFonts w:hint="eastAsia" w:eastAsia="仿宋"/>
          <w:b w:val="0"/>
          <w:sz w:val="28"/>
          <w:lang w:eastAsia="zh-CN"/>
        </w:rPr>
        <w:t>方</w:t>
      </w:r>
      <w:r>
        <w:rPr>
          <w:rFonts w:ascii="Times New Roman" w:hAnsi="Times New Roman" w:eastAsia="仿宋"/>
          <w:b w:val="0"/>
          <w:sz w:val="28"/>
        </w:rPr>
        <w:t>：合肥南方物流发展有限公司</w:t>
      </w:r>
    </w:p>
    <w:p w14:paraId="1EAC9B67">
      <w:pPr>
        <w:spacing w:before="0" w:after="0" w:line="360" w:lineRule="auto"/>
        <w:ind w:firstLine="0"/>
        <w:jc w:val="center"/>
      </w:pPr>
      <w:r>
        <w:rPr>
          <w:rFonts w:ascii="Times New Roman" w:hAnsi="Times New Roman" w:eastAsia="仿宋"/>
          <w:b w:val="0"/>
          <w:sz w:val="28"/>
        </w:rPr>
        <w:t>日    期：2026年</w:t>
      </w:r>
      <w:r>
        <w:rPr>
          <w:rFonts w:hint="eastAsia" w:eastAsia="仿宋"/>
          <w:b w:val="0"/>
          <w:sz w:val="28"/>
          <w:lang w:val="en-US" w:eastAsia="zh-CN"/>
        </w:rPr>
        <w:t>10</w:t>
      </w:r>
      <w:r>
        <w:rPr>
          <w:rFonts w:ascii="Times New Roman" w:hAnsi="Times New Roman" w:eastAsia="仿宋"/>
          <w:b w:val="0"/>
          <w:sz w:val="28"/>
        </w:rPr>
        <w:t>月</w:t>
      </w:r>
    </w:p>
    <w:p w14:paraId="1A24753F">
      <w:r>
        <w:br w:type="page"/>
      </w:r>
    </w:p>
    <w:p w14:paraId="36A72D45">
      <w:pPr>
        <w:spacing w:before="360" w:after="240" w:line="360" w:lineRule="auto"/>
        <w:ind w:firstLine="0"/>
        <w:jc w:val="center"/>
        <w:outlineLvl w:val="9"/>
        <w:rPr>
          <w:sz w:val="44"/>
          <w:szCs w:val="40"/>
        </w:rPr>
      </w:pPr>
      <w:r>
        <w:rPr>
          <w:rFonts w:ascii="Times New Roman" w:hAnsi="Times New Roman" w:eastAsia="黑体"/>
          <w:b/>
          <w:sz w:val="52"/>
          <w:szCs w:val="40"/>
        </w:rPr>
        <w:t>目  录</w:t>
      </w:r>
    </w:p>
    <w:sdt>
      <w:sdtPr>
        <w:rPr>
          <w:rFonts w:ascii="宋体" w:hAnsi="宋体" w:eastAsia="宋体" w:cstheme="minorBidi"/>
          <w:sz w:val="36"/>
          <w:szCs w:val="40"/>
          <w:lang w:val="en-US" w:eastAsia="en-US" w:bidi="ar-SA"/>
        </w:rPr>
        <w:id w:val="781907257"/>
        <w15:color w:val="DBDBDB"/>
        <w:docPartObj>
          <w:docPartGallery w:val="Table of Contents"/>
          <w:docPartUnique/>
        </w:docPartObj>
      </w:sdtPr>
      <w:sdtEndPr>
        <w:rPr>
          <w:rFonts w:ascii="宋体" w:hAnsi="宋体" w:eastAsia="宋体" w:cstheme="minorBidi"/>
          <w:sz w:val="36"/>
          <w:szCs w:val="40"/>
          <w:lang w:val="en-US" w:eastAsia="en-US" w:bidi="ar-SA"/>
        </w:rPr>
      </w:sdtEndPr>
      <w:sdtContent>
        <w:p w14:paraId="0B2E8408">
          <w:pPr>
            <w:spacing w:before="0" w:beforeLines="0" w:after="0" w:afterLines="0" w:line="240" w:lineRule="auto"/>
            <w:ind w:left="0" w:leftChars="0" w:right="0" w:rightChars="0" w:firstLine="0" w:firstLineChars="0"/>
            <w:jc w:val="center"/>
            <w:outlineLvl w:val="9"/>
            <w:rPr>
              <w:sz w:val="44"/>
              <w:szCs w:val="40"/>
            </w:rPr>
          </w:pPr>
        </w:p>
        <w:p w14:paraId="5E4360A6">
          <w:pPr>
            <w:pStyle w:val="28"/>
            <w:tabs>
              <w:tab w:val="right" w:leader="dot" w:pos="9072"/>
            </w:tabs>
          </w:pPr>
          <w:r>
            <w:rPr>
              <w:sz w:val="32"/>
              <w:szCs w:val="32"/>
            </w:rPr>
            <w:fldChar w:fldCharType="begin"/>
          </w:r>
          <w:r>
            <w:rPr>
              <w:sz w:val="32"/>
              <w:szCs w:val="32"/>
            </w:rPr>
            <w:instrText xml:space="preserve">TOC \o "1-1" \h \u </w:instrText>
          </w:r>
          <w:r>
            <w:rPr>
              <w:sz w:val="32"/>
              <w:szCs w:val="32"/>
            </w:rPr>
            <w:fldChar w:fldCharType="separate"/>
          </w:r>
          <w:r>
            <w:rPr>
              <w:szCs w:val="32"/>
            </w:rPr>
            <w:fldChar w:fldCharType="begin"/>
          </w:r>
          <w:r>
            <w:rPr>
              <w:szCs w:val="32"/>
            </w:rPr>
            <w:instrText xml:space="preserve"> HYPERLINK \l _Toc783945640 </w:instrText>
          </w:r>
          <w:r>
            <w:rPr>
              <w:szCs w:val="32"/>
            </w:rPr>
            <w:fldChar w:fldCharType="separate"/>
          </w:r>
          <w:r>
            <w:rPr>
              <w:rFonts w:ascii="Times New Roman" w:hAnsi="Times New Roman" w:eastAsia="黑体"/>
            </w:rPr>
            <w:t xml:space="preserve">第一章  </w:t>
          </w:r>
          <w:r>
            <w:rPr>
              <w:rFonts w:hint="eastAsia" w:eastAsia="黑体"/>
              <w:lang w:eastAsia="zh-CN"/>
            </w:rPr>
            <w:t>询比</w:t>
          </w:r>
          <w:r>
            <w:rPr>
              <w:rFonts w:ascii="Times New Roman" w:hAnsi="Times New Roman" w:eastAsia="黑体"/>
            </w:rPr>
            <w:t>公告</w:t>
          </w:r>
          <w:r>
            <w:tab/>
          </w:r>
          <w:r>
            <w:fldChar w:fldCharType="begin"/>
          </w:r>
          <w:r>
            <w:instrText xml:space="preserve"> PAGEREF _Toc783945640 \h </w:instrText>
          </w:r>
          <w:r>
            <w:fldChar w:fldCharType="separate"/>
          </w:r>
          <w:r>
            <w:t>3</w:t>
          </w:r>
          <w:r>
            <w:fldChar w:fldCharType="end"/>
          </w:r>
          <w:r>
            <w:rPr>
              <w:szCs w:val="32"/>
            </w:rPr>
            <w:fldChar w:fldCharType="end"/>
          </w:r>
        </w:p>
        <w:p w14:paraId="73E3AFC7">
          <w:pPr>
            <w:pStyle w:val="28"/>
            <w:tabs>
              <w:tab w:val="right" w:leader="dot" w:pos="9072"/>
            </w:tabs>
          </w:pPr>
          <w:r>
            <w:rPr>
              <w:szCs w:val="32"/>
            </w:rPr>
            <w:fldChar w:fldCharType="begin"/>
          </w:r>
          <w:r>
            <w:rPr>
              <w:szCs w:val="32"/>
            </w:rPr>
            <w:instrText xml:space="preserve"> HYPERLINK \l _Toc508554610 </w:instrText>
          </w:r>
          <w:r>
            <w:rPr>
              <w:szCs w:val="32"/>
            </w:rPr>
            <w:fldChar w:fldCharType="separate"/>
          </w:r>
          <w:r>
            <w:rPr>
              <w:rFonts w:ascii="Times New Roman" w:hAnsi="Times New Roman" w:eastAsia="黑体"/>
            </w:rPr>
            <w:t xml:space="preserve">第二章  </w:t>
          </w:r>
          <w:r>
            <w:rPr>
              <w:rFonts w:hint="eastAsia" w:eastAsia="黑体"/>
              <w:lang w:eastAsia="zh-CN"/>
            </w:rPr>
            <w:t>供应商</w:t>
          </w:r>
          <w:r>
            <w:rPr>
              <w:rFonts w:ascii="Times New Roman" w:hAnsi="Times New Roman" w:eastAsia="黑体"/>
            </w:rPr>
            <w:t>须知</w:t>
          </w:r>
          <w:r>
            <w:tab/>
          </w:r>
          <w:r>
            <w:fldChar w:fldCharType="begin"/>
          </w:r>
          <w:r>
            <w:instrText xml:space="preserve"> PAGEREF _Toc508554610 \h </w:instrText>
          </w:r>
          <w:r>
            <w:fldChar w:fldCharType="separate"/>
          </w:r>
          <w:r>
            <w:t>6</w:t>
          </w:r>
          <w:r>
            <w:fldChar w:fldCharType="end"/>
          </w:r>
          <w:r>
            <w:rPr>
              <w:szCs w:val="32"/>
            </w:rPr>
            <w:fldChar w:fldCharType="end"/>
          </w:r>
        </w:p>
        <w:p w14:paraId="1EFED66C">
          <w:pPr>
            <w:pStyle w:val="28"/>
            <w:tabs>
              <w:tab w:val="right" w:leader="dot" w:pos="9072"/>
            </w:tabs>
          </w:pPr>
          <w:r>
            <w:rPr>
              <w:szCs w:val="32"/>
            </w:rPr>
            <w:fldChar w:fldCharType="begin"/>
          </w:r>
          <w:r>
            <w:rPr>
              <w:szCs w:val="32"/>
            </w:rPr>
            <w:instrText xml:space="preserve"> HYPERLINK \l _Toc2118500916 </w:instrText>
          </w:r>
          <w:r>
            <w:rPr>
              <w:szCs w:val="32"/>
            </w:rPr>
            <w:fldChar w:fldCharType="separate"/>
          </w:r>
          <w:r>
            <w:rPr>
              <w:rFonts w:ascii="Times New Roman" w:hAnsi="Times New Roman" w:eastAsia="黑体"/>
            </w:rPr>
            <w:t>第三章  采购需求及服务要求</w:t>
          </w:r>
          <w:r>
            <w:tab/>
          </w:r>
          <w:r>
            <w:fldChar w:fldCharType="begin"/>
          </w:r>
          <w:r>
            <w:instrText xml:space="preserve"> PAGEREF _Toc2118500916 \h </w:instrText>
          </w:r>
          <w:r>
            <w:fldChar w:fldCharType="separate"/>
          </w:r>
          <w:r>
            <w:t>9</w:t>
          </w:r>
          <w:r>
            <w:fldChar w:fldCharType="end"/>
          </w:r>
          <w:r>
            <w:rPr>
              <w:szCs w:val="32"/>
            </w:rPr>
            <w:fldChar w:fldCharType="end"/>
          </w:r>
        </w:p>
        <w:p w14:paraId="4569A925">
          <w:pPr>
            <w:pStyle w:val="28"/>
            <w:tabs>
              <w:tab w:val="right" w:leader="dot" w:pos="9072"/>
            </w:tabs>
          </w:pPr>
          <w:r>
            <w:rPr>
              <w:szCs w:val="32"/>
            </w:rPr>
            <w:fldChar w:fldCharType="begin"/>
          </w:r>
          <w:r>
            <w:rPr>
              <w:szCs w:val="32"/>
            </w:rPr>
            <w:instrText xml:space="preserve"> HYPERLINK \l _Toc1747066378 </w:instrText>
          </w:r>
          <w:r>
            <w:rPr>
              <w:szCs w:val="32"/>
            </w:rPr>
            <w:fldChar w:fldCharType="separate"/>
          </w:r>
          <w:r>
            <w:rPr>
              <w:rFonts w:ascii="Times New Roman" w:hAnsi="Times New Roman" w:eastAsia="黑体"/>
            </w:rPr>
            <w:t xml:space="preserve">第四章  </w:t>
          </w:r>
          <w:r>
            <w:rPr>
              <w:rFonts w:hint="eastAsia" w:eastAsia="黑体"/>
              <w:lang w:eastAsia="zh-CN"/>
            </w:rPr>
            <w:t>评审方法</w:t>
          </w:r>
          <w:r>
            <w:tab/>
          </w:r>
          <w:r>
            <w:fldChar w:fldCharType="begin"/>
          </w:r>
          <w:r>
            <w:instrText xml:space="preserve"> PAGEREF _Toc1747066378 \h </w:instrText>
          </w:r>
          <w:r>
            <w:fldChar w:fldCharType="separate"/>
          </w:r>
          <w:r>
            <w:t>12</w:t>
          </w:r>
          <w:r>
            <w:fldChar w:fldCharType="end"/>
          </w:r>
          <w:r>
            <w:rPr>
              <w:szCs w:val="32"/>
            </w:rPr>
            <w:fldChar w:fldCharType="end"/>
          </w:r>
        </w:p>
        <w:p w14:paraId="1464BE1E">
          <w:pPr>
            <w:pStyle w:val="28"/>
            <w:tabs>
              <w:tab w:val="right" w:leader="dot" w:pos="9072"/>
            </w:tabs>
          </w:pPr>
          <w:r>
            <w:rPr>
              <w:szCs w:val="32"/>
            </w:rPr>
            <w:fldChar w:fldCharType="begin"/>
          </w:r>
          <w:r>
            <w:rPr>
              <w:szCs w:val="32"/>
            </w:rPr>
            <w:instrText xml:space="preserve"> HYPERLINK \l _Toc547322917 </w:instrText>
          </w:r>
          <w:r>
            <w:rPr>
              <w:szCs w:val="32"/>
            </w:rPr>
            <w:fldChar w:fldCharType="separate"/>
          </w:r>
          <w:r>
            <w:rPr>
              <w:rFonts w:ascii="Times New Roman" w:hAnsi="Times New Roman" w:eastAsia="黑体"/>
            </w:rPr>
            <w:t>第五章  租赁合同（主要条款）</w:t>
          </w:r>
          <w:r>
            <w:tab/>
          </w:r>
          <w:r>
            <w:fldChar w:fldCharType="begin"/>
          </w:r>
          <w:r>
            <w:instrText xml:space="preserve"> PAGEREF _Toc547322917 \h </w:instrText>
          </w:r>
          <w:r>
            <w:fldChar w:fldCharType="separate"/>
          </w:r>
          <w:r>
            <w:t>14</w:t>
          </w:r>
          <w:r>
            <w:fldChar w:fldCharType="end"/>
          </w:r>
          <w:r>
            <w:rPr>
              <w:szCs w:val="32"/>
            </w:rPr>
            <w:fldChar w:fldCharType="end"/>
          </w:r>
        </w:p>
        <w:p w14:paraId="07473224">
          <w:pPr>
            <w:pStyle w:val="28"/>
            <w:tabs>
              <w:tab w:val="right" w:leader="dot" w:pos="9072"/>
            </w:tabs>
          </w:pPr>
          <w:r>
            <w:rPr>
              <w:szCs w:val="32"/>
            </w:rPr>
            <w:fldChar w:fldCharType="begin"/>
          </w:r>
          <w:r>
            <w:rPr>
              <w:szCs w:val="32"/>
            </w:rPr>
            <w:instrText xml:space="preserve"> HYPERLINK \l _Toc1514761437 </w:instrText>
          </w:r>
          <w:r>
            <w:rPr>
              <w:szCs w:val="32"/>
            </w:rPr>
            <w:fldChar w:fldCharType="separate"/>
          </w:r>
          <w:r>
            <w:rPr>
              <w:rFonts w:ascii="Times New Roman" w:hAnsi="Times New Roman" w:eastAsia="黑体"/>
            </w:rPr>
            <w:t xml:space="preserve">第六章  </w:t>
          </w:r>
          <w:r>
            <w:rPr>
              <w:rFonts w:hint="eastAsia" w:eastAsia="黑体"/>
              <w:lang w:val="en-US" w:eastAsia="zh-CN"/>
            </w:rPr>
            <w:t>响应</w:t>
          </w:r>
          <w:r>
            <w:rPr>
              <w:rFonts w:ascii="Times New Roman" w:hAnsi="Times New Roman" w:eastAsia="黑体"/>
            </w:rPr>
            <w:t>文件格式</w:t>
          </w:r>
          <w:r>
            <w:tab/>
          </w:r>
          <w:r>
            <w:fldChar w:fldCharType="begin"/>
          </w:r>
          <w:r>
            <w:instrText xml:space="preserve"> PAGEREF _Toc1514761437 \h </w:instrText>
          </w:r>
          <w:r>
            <w:fldChar w:fldCharType="separate"/>
          </w:r>
          <w:r>
            <w:t>18</w:t>
          </w:r>
          <w:r>
            <w:fldChar w:fldCharType="end"/>
          </w:r>
          <w:r>
            <w:rPr>
              <w:szCs w:val="32"/>
            </w:rPr>
            <w:fldChar w:fldCharType="end"/>
          </w:r>
        </w:p>
        <w:p w14:paraId="13A9317C">
          <w:pPr>
            <w:outlineLvl w:val="9"/>
          </w:pPr>
          <w:r>
            <w:rPr>
              <w:szCs w:val="32"/>
            </w:rPr>
            <w:fldChar w:fldCharType="end"/>
          </w:r>
        </w:p>
      </w:sdtContent>
    </w:sdt>
    <w:p w14:paraId="4875403E"/>
    <w:p w14:paraId="59DE6975">
      <w:r>
        <w:br w:type="page"/>
      </w:r>
    </w:p>
    <w:p w14:paraId="59B849DE">
      <w:pPr>
        <w:spacing w:before="360" w:after="240" w:line="360" w:lineRule="auto"/>
        <w:ind w:firstLine="0"/>
        <w:jc w:val="center"/>
        <w:outlineLvl w:val="0"/>
      </w:pPr>
      <w:bookmarkStart w:id="0" w:name="_Toc783945640"/>
      <w:r>
        <w:rPr>
          <w:rFonts w:ascii="Times New Roman" w:hAnsi="Times New Roman" w:eastAsia="黑体"/>
          <w:b/>
          <w:sz w:val="32"/>
        </w:rPr>
        <w:t xml:space="preserve">第一章  </w:t>
      </w:r>
      <w:r>
        <w:rPr>
          <w:rFonts w:hint="eastAsia" w:eastAsia="黑体"/>
          <w:b/>
          <w:sz w:val="32"/>
          <w:lang w:eastAsia="zh-CN"/>
        </w:rPr>
        <w:t>询比</w:t>
      </w:r>
      <w:r>
        <w:rPr>
          <w:rFonts w:ascii="Times New Roman" w:hAnsi="Times New Roman" w:eastAsia="黑体"/>
          <w:b/>
          <w:sz w:val="32"/>
        </w:rPr>
        <w:t>公告</w:t>
      </w:r>
      <w:bookmarkEnd w:id="0"/>
    </w:p>
    <w:p w14:paraId="70DEB20E">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合肥南方物流发展有限公司现就宿舍家具租赁服务采购项目进行国内公开询比，欢迎具备相应资格条件的供应商参加报价。</w:t>
      </w:r>
    </w:p>
    <w:p w14:paraId="0C735BA7">
      <w:pPr>
        <w:spacing w:before="240" w:after="120" w:line="360" w:lineRule="auto"/>
        <w:ind w:firstLine="0"/>
      </w:pPr>
      <w:r>
        <w:rPr>
          <w:rFonts w:ascii="Times New Roman" w:hAnsi="Times New Roman" w:eastAsia="黑体"/>
          <w:b/>
          <w:sz w:val="28"/>
        </w:rPr>
        <w:t>一、项目概况</w:t>
      </w:r>
    </w:p>
    <w:p w14:paraId="724D79EF">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 项目名称：合肥南方物流发展有限公司宿舍家具租赁服务采购项目</w:t>
      </w:r>
    </w:p>
    <w:p w14:paraId="2779EEDD">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 项目地点：安徽省合肥市长丰县下塘镇建业大道与古镇路交口北城铁路物流园</w:t>
      </w:r>
    </w:p>
    <w:p w14:paraId="43F01F43">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 租赁内容：宿舍配套家具的租赁、运输、安装、日常维修保养及到期移交等全部服务。采购方根据实际使用需求分批配置，预计共23间，最终按实际配置间数结算。</w:t>
      </w:r>
    </w:p>
    <w:p w14:paraId="5AE6E42D">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 租赁期限：2年（自家具安装调试验收合格之日起计算）。</w:t>
      </w:r>
    </w:p>
    <w:p w14:paraId="65F2346D">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 资金来源：自筹。</w:t>
      </w:r>
    </w:p>
    <w:p w14:paraId="72312610">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 最高报价限价：</w:t>
      </w:r>
      <w:r>
        <w:rPr>
          <w:rFonts w:hint="eastAsia" w:ascii="仿宋_GB2312" w:hAnsi="仿宋_GB2312" w:eastAsia="仿宋_GB2312" w:cs="仿宋_GB2312"/>
          <w:b/>
          <w:bCs/>
          <w:sz w:val="28"/>
          <w:szCs w:val="28"/>
          <w:lang w:val="en-US" w:eastAsia="zh-CN"/>
        </w:rPr>
        <w:t>单间2年租金单价不超过人民币5000元/间（含税）。最终租金按实际配置间数×单间2年租金单价结算，预计23间总费用约11.5万元。报价超过最高限价的，按无效报价处理。</w:t>
      </w:r>
    </w:p>
    <w:p w14:paraId="2D472A49">
      <w:pPr>
        <w:spacing w:before="240" w:after="120" w:line="360" w:lineRule="auto"/>
        <w:ind w:firstLine="0"/>
      </w:pPr>
      <w:r>
        <w:rPr>
          <w:rFonts w:ascii="Times New Roman" w:hAnsi="Times New Roman" w:eastAsia="黑体"/>
          <w:b/>
          <w:sz w:val="28"/>
        </w:rPr>
        <w:t>二、</w:t>
      </w:r>
      <w:r>
        <w:rPr>
          <w:rFonts w:hint="eastAsia" w:eastAsia="黑体"/>
          <w:b/>
          <w:sz w:val="28"/>
          <w:lang w:eastAsia="zh-CN"/>
        </w:rPr>
        <w:t>供应商</w:t>
      </w:r>
      <w:r>
        <w:rPr>
          <w:rFonts w:ascii="Times New Roman" w:hAnsi="Times New Roman" w:eastAsia="黑体"/>
          <w:b/>
          <w:sz w:val="28"/>
        </w:rPr>
        <w:t>资格要求</w:t>
      </w:r>
    </w:p>
    <w:p w14:paraId="72718AB3">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 供应商须为在中华人民共和国境内注册，具有独立法人资格，能独立承担民事责任的企业，提供有效的营业执照。</w:t>
      </w:r>
    </w:p>
    <w:p w14:paraId="4E382F97">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 签署没有不良信用记录情形的承诺函。</w:t>
      </w:r>
    </w:p>
    <w:p w14:paraId="1B9E299C">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 本项目不接受联合体报价，不得转包、分包。</w:t>
      </w:r>
    </w:p>
    <w:p w14:paraId="74A93817">
      <w:pPr>
        <w:spacing w:before="240" w:after="120" w:line="360" w:lineRule="auto"/>
        <w:ind w:firstLine="0"/>
      </w:pPr>
      <w:r>
        <w:rPr>
          <w:rFonts w:ascii="Times New Roman" w:hAnsi="Times New Roman" w:eastAsia="黑体"/>
          <w:b/>
          <w:sz w:val="28"/>
        </w:rPr>
        <w:t>三、招标文件的获取</w:t>
      </w:r>
    </w:p>
    <w:p w14:paraId="2D7FAB92">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 获取时间：2026年10月13日至2026年10月16日（工作日9:00—17:00）。招标文件随公告一并发布，可直接获取。</w:t>
      </w:r>
      <w:bookmarkStart w:id="8" w:name="_GoBack"/>
      <w:bookmarkEnd w:id="8"/>
    </w:p>
    <w:p w14:paraId="3CC682F3">
      <w:pPr>
        <w:keepNext w:val="0"/>
        <w:keepLines w:val="0"/>
        <w:pageBreakBefore w:val="0"/>
        <w:widowControl w:val="0"/>
        <w:kinsoku/>
        <w:wordWrap/>
        <w:overflowPunct/>
        <w:topLinePunct/>
        <w:autoSpaceDE/>
        <w:autoSpaceDN/>
        <w:bidi w:val="0"/>
        <w:snapToGrid/>
        <w:spacing w:line="560" w:lineRule="exact"/>
        <w:ind w:firstLine="560" w:firstLineChars="200"/>
        <w:rPr>
          <w:rFonts w:hint="eastAsia"/>
          <w:lang w:val="en-US" w:eastAsia="zh-CN"/>
        </w:rPr>
      </w:pPr>
      <w:r>
        <w:rPr>
          <w:rFonts w:hint="eastAsia" w:ascii="仿宋_GB2312" w:hAnsi="仿宋_GB2312" w:eastAsia="仿宋_GB2312" w:cs="仿宋_GB2312"/>
          <w:sz w:val="28"/>
          <w:szCs w:val="28"/>
          <w:lang w:val="en-US" w:eastAsia="zh-CN"/>
        </w:rPr>
        <w:t>2. 项目咨询：联系人：王工18855133597。</w:t>
      </w:r>
    </w:p>
    <w:p w14:paraId="6BEF07F4">
      <w:pPr>
        <w:spacing w:before="240" w:after="120" w:line="360" w:lineRule="auto"/>
        <w:ind w:firstLine="0"/>
      </w:pPr>
      <w:r>
        <w:rPr>
          <w:rFonts w:ascii="Times New Roman" w:hAnsi="Times New Roman" w:eastAsia="黑体"/>
          <w:b/>
          <w:sz w:val="28"/>
        </w:rPr>
        <w:t>四、</w:t>
      </w:r>
      <w:r>
        <w:rPr>
          <w:rFonts w:hint="eastAsia" w:eastAsia="黑体"/>
          <w:b/>
          <w:sz w:val="28"/>
          <w:lang w:eastAsia="zh-CN"/>
        </w:rPr>
        <w:t>响应文件</w:t>
      </w:r>
      <w:r>
        <w:rPr>
          <w:rFonts w:ascii="Times New Roman" w:hAnsi="Times New Roman" w:eastAsia="黑体"/>
          <w:b/>
          <w:sz w:val="28"/>
        </w:rPr>
        <w:t>的递交</w:t>
      </w:r>
    </w:p>
    <w:p w14:paraId="00D001B2">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 响应文件递交截止时间（报价截止时间，下同）：2026年10月16日17时。</w:t>
      </w:r>
    </w:p>
    <w:p w14:paraId="26CC40B5">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 递交方式：将密封完好的</w:t>
      </w:r>
      <w:r>
        <w:rPr>
          <w:rFonts w:hint="eastAsia" w:ascii="仿宋_GB2312" w:hAnsi="仿宋_GB2312" w:eastAsia="仿宋_GB2312" w:cs="仿宋_GB2312"/>
          <w:b/>
          <w:bCs/>
          <w:sz w:val="28"/>
          <w:szCs w:val="28"/>
          <w:lang w:val="en-US" w:eastAsia="zh-CN"/>
        </w:rPr>
        <w:t>盖章</w:t>
      </w:r>
      <w:r>
        <w:rPr>
          <w:rFonts w:hint="eastAsia" w:ascii="仿宋_GB2312" w:hAnsi="仿宋_GB2312" w:eastAsia="仿宋_GB2312" w:cs="仿宋_GB2312"/>
          <w:sz w:val="28"/>
          <w:szCs w:val="28"/>
          <w:lang w:val="en-US" w:eastAsia="zh-CN"/>
        </w:rPr>
        <w:t>响应文件送达指定地点：合肥市庐阳区故黄路1号（</w:t>
      </w:r>
      <w:r>
        <w:rPr>
          <w:rFonts w:hint="eastAsia" w:ascii="仿宋_GB2312" w:hAnsi="仿宋_GB2312" w:eastAsia="仿宋_GB2312" w:cs="仿宋_GB2312"/>
          <w:b/>
          <w:bCs/>
          <w:sz w:val="28"/>
          <w:szCs w:val="28"/>
          <w:highlight w:val="none"/>
          <w:lang w:val="en-US" w:eastAsia="zh-CN"/>
        </w:rPr>
        <w:t>合肥南方物流发展有限公司</w:t>
      </w:r>
      <w:r>
        <w:rPr>
          <w:rFonts w:hint="eastAsia" w:ascii="仿宋_GB2312" w:hAnsi="仿宋_GB2312" w:eastAsia="仿宋_GB2312" w:cs="仿宋_GB2312"/>
          <w:sz w:val="28"/>
          <w:szCs w:val="28"/>
          <w:lang w:val="en-US" w:eastAsia="zh-CN"/>
        </w:rPr>
        <w:t>），联系人：王工18855133597。</w:t>
      </w:r>
    </w:p>
    <w:p w14:paraId="656C92C5">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 逾期送达或未送达指定地点的响应文件，采购方不予受理。</w:t>
      </w:r>
    </w:p>
    <w:p w14:paraId="2C1E57C0">
      <w:pPr>
        <w:spacing w:before="240" w:after="120" w:line="360" w:lineRule="auto"/>
        <w:ind w:firstLine="0"/>
      </w:pPr>
      <w:r>
        <w:rPr>
          <w:rFonts w:ascii="Times New Roman" w:hAnsi="Times New Roman" w:eastAsia="黑体"/>
          <w:b/>
          <w:sz w:val="28"/>
        </w:rPr>
        <w:t>五、开标时间及地点</w:t>
      </w:r>
    </w:p>
    <w:p w14:paraId="761FBFFF">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 开标时间：同报价截止时间。</w:t>
      </w:r>
    </w:p>
    <w:p w14:paraId="77E876F2">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 开标地点：合肥南方物流发展有限公司会议室。</w:t>
      </w:r>
    </w:p>
    <w:p w14:paraId="28929645">
      <w:pPr>
        <w:spacing w:before="240" w:after="120" w:line="360" w:lineRule="auto"/>
        <w:ind w:firstLine="0"/>
      </w:pPr>
      <w:r>
        <w:rPr>
          <w:rFonts w:ascii="Times New Roman" w:hAnsi="Times New Roman" w:eastAsia="黑体"/>
          <w:b/>
          <w:sz w:val="28"/>
        </w:rPr>
        <w:t>六、发布公告的媒介</w:t>
      </w:r>
    </w:p>
    <w:p w14:paraId="49B2ACC2">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本次询比公告在合肥物流控股集团有限公司官方网站及安徽公共资源交易集团网站发布。</w:t>
      </w:r>
    </w:p>
    <w:p w14:paraId="448DA3CD">
      <w:pPr>
        <w:spacing w:before="240" w:after="120" w:line="360" w:lineRule="auto"/>
        <w:ind w:firstLine="0"/>
      </w:pPr>
      <w:r>
        <w:rPr>
          <w:rFonts w:ascii="Times New Roman" w:hAnsi="Times New Roman" w:eastAsia="黑体"/>
          <w:b/>
          <w:sz w:val="28"/>
        </w:rPr>
        <w:t>七、联系方式</w:t>
      </w:r>
    </w:p>
    <w:p w14:paraId="5AB6EEBE">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采 购 方：合肥南方物流发展有限公司</w:t>
      </w:r>
    </w:p>
    <w:p w14:paraId="2E6FF426">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地    址：安徽省合肥市长丰县双凤经济开发区凤霞路006号办公楼301室</w:t>
      </w:r>
    </w:p>
    <w:p w14:paraId="3311AB8D">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联 系 人：王工</w:t>
      </w:r>
    </w:p>
    <w:p w14:paraId="238AB24D">
      <w:pPr>
        <w:keepNext w:val="0"/>
        <w:keepLines w:val="0"/>
        <w:pageBreakBefore w:val="0"/>
        <w:widowControl w:val="0"/>
        <w:kinsoku/>
        <w:wordWrap/>
        <w:overflowPunct/>
        <w:topLinePunct/>
        <w:autoSpaceDE/>
        <w:autoSpaceDN/>
        <w:bidi w:val="0"/>
        <w:snapToGrid/>
        <w:spacing w:line="560" w:lineRule="exact"/>
        <w:ind w:firstLine="560" w:firstLineChars="200"/>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联系电话：18855133597</w:t>
      </w:r>
    </w:p>
    <w:p w14:paraId="5502884B">
      <w:r>
        <w:br w:type="page"/>
      </w:r>
    </w:p>
    <w:p w14:paraId="04185DB5">
      <w:pPr>
        <w:spacing w:before="360" w:after="240" w:line="360" w:lineRule="auto"/>
        <w:ind w:firstLine="0"/>
        <w:jc w:val="center"/>
        <w:outlineLvl w:val="0"/>
      </w:pPr>
      <w:bookmarkStart w:id="1" w:name="_Toc508554610"/>
      <w:r>
        <w:rPr>
          <w:rFonts w:ascii="Times New Roman" w:hAnsi="Times New Roman" w:eastAsia="黑体"/>
          <w:b/>
          <w:sz w:val="32"/>
        </w:rPr>
        <w:t xml:space="preserve">第二章  </w:t>
      </w:r>
      <w:r>
        <w:rPr>
          <w:rFonts w:hint="eastAsia" w:eastAsia="黑体"/>
          <w:b/>
          <w:sz w:val="32"/>
          <w:lang w:eastAsia="zh-CN"/>
        </w:rPr>
        <w:t>供应商</w:t>
      </w:r>
      <w:r>
        <w:rPr>
          <w:rFonts w:ascii="Times New Roman" w:hAnsi="Times New Roman" w:eastAsia="黑体"/>
          <w:b/>
          <w:sz w:val="32"/>
        </w:rPr>
        <w:t>须知</w:t>
      </w:r>
      <w:bookmarkEnd w:id="1"/>
    </w:p>
    <w:p w14:paraId="57588618">
      <w:pPr>
        <w:spacing w:before="240" w:after="120" w:line="360" w:lineRule="auto"/>
        <w:ind w:firstLine="0"/>
      </w:pPr>
      <w:r>
        <w:rPr>
          <w:rFonts w:ascii="Times New Roman" w:hAnsi="Times New Roman" w:eastAsia="黑体"/>
          <w:b/>
          <w:sz w:val="28"/>
        </w:rPr>
        <w:t>一、</w:t>
      </w:r>
      <w:r>
        <w:rPr>
          <w:rFonts w:hint="eastAsia" w:eastAsia="黑体"/>
          <w:b/>
          <w:sz w:val="28"/>
          <w:lang w:eastAsia="zh-CN"/>
        </w:rPr>
        <w:t>供应商</w:t>
      </w:r>
      <w:r>
        <w:rPr>
          <w:rFonts w:ascii="Times New Roman" w:hAnsi="Times New Roman" w:eastAsia="黑体"/>
          <w:b/>
          <w:sz w:val="28"/>
        </w:rPr>
        <w:t>须知前附表</w:t>
      </w:r>
    </w:p>
    <w:tbl>
      <w:tblPr>
        <w:tblStyle w:val="3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0"/>
        <w:gridCol w:w="1984"/>
        <w:gridCol w:w="6236"/>
      </w:tblGrid>
      <w:tr w14:paraId="1607B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50" w:type="dxa"/>
          </w:tcPr>
          <w:p w14:paraId="32137F54">
            <w:pPr>
              <w:spacing w:after="0"/>
              <w:ind w:firstLine="0"/>
              <w:jc w:val="center"/>
            </w:pPr>
            <w:r>
              <w:rPr>
                <w:rFonts w:ascii="Times New Roman" w:hAnsi="Times New Roman" w:eastAsia="黑体"/>
                <w:b/>
                <w:sz w:val="21"/>
              </w:rPr>
              <w:t>条款号</w:t>
            </w:r>
          </w:p>
        </w:tc>
        <w:tc>
          <w:tcPr>
            <w:tcW w:w="1984" w:type="dxa"/>
          </w:tcPr>
          <w:p w14:paraId="3C7C5D16">
            <w:pPr>
              <w:spacing w:after="0"/>
              <w:ind w:firstLine="0"/>
              <w:jc w:val="center"/>
            </w:pPr>
            <w:r>
              <w:rPr>
                <w:rFonts w:ascii="Times New Roman" w:hAnsi="Times New Roman" w:eastAsia="黑体"/>
                <w:b/>
                <w:sz w:val="21"/>
              </w:rPr>
              <w:t>条款名称</w:t>
            </w:r>
          </w:p>
        </w:tc>
        <w:tc>
          <w:tcPr>
            <w:tcW w:w="6236" w:type="dxa"/>
            <w:shd w:val="clear" w:color="auto" w:fill="D9D9D9"/>
            <w:vAlign w:val="center"/>
          </w:tcPr>
          <w:p w14:paraId="79E81B1A">
            <w:pPr>
              <w:spacing w:after="0"/>
              <w:ind w:firstLine="0"/>
              <w:jc w:val="center"/>
            </w:pPr>
            <w:r>
              <w:rPr>
                <w:rFonts w:ascii="Times New Roman" w:hAnsi="Times New Roman" w:eastAsia="黑体"/>
                <w:b/>
                <w:sz w:val="21"/>
              </w:rPr>
              <w:t>内容、说明与要求</w:t>
            </w:r>
          </w:p>
        </w:tc>
      </w:tr>
      <w:tr w14:paraId="45558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50" w:type="dxa"/>
            <w:vAlign w:val="center"/>
          </w:tcPr>
          <w:p w14:paraId="2D2EE41E">
            <w:pPr>
              <w:spacing w:after="0" w:line="276" w:lineRule="auto"/>
              <w:ind w:firstLine="0"/>
              <w:jc w:val="center"/>
            </w:pPr>
            <w:r>
              <w:rPr>
                <w:rFonts w:ascii="Times New Roman" w:hAnsi="Times New Roman" w:eastAsia="宋体"/>
                <w:b w:val="0"/>
                <w:sz w:val="21"/>
              </w:rPr>
              <w:t>1</w:t>
            </w:r>
          </w:p>
        </w:tc>
        <w:tc>
          <w:tcPr>
            <w:tcW w:w="1984" w:type="dxa"/>
            <w:vAlign w:val="center"/>
          </w:tcPr>
          <w:p w14:paraId="2447ED0F">
            <w:pPr>
              <w:spacing w:after="0" w:line="276" w:lineRule="auto"/>
              <w:ind w:firstLine="0"/>
              <w:jc w:val="left"/>
            </w:pPr>
            <w:r>
              <w:rPr>
                <w:rFonts w:ascii="Times New Roman" w:hAnsi="Times New Roman" w:eastAsia="宋体"/>
                <w:b w:val="0"/>
                <w:sz w:val="21"/>
              </w:rPr>
              <w:t>项目名称</w:t>
            </w:r>
          </w:p>
        </w:tc>
        <w:tc>
          <w:tcPr>
            <w:tcW w:w="6236" w:type="dxa"/>
            <w:vAlign w:val="center"/>
          </w:tcPr>
          <w:p w14:paraId="6959B788">
            <w:pPr>
              <w:spacing w:after="0" w:line="276" w:lineRule="auto"/>
              <w:ind w:firstLine="0"/>
              <w:jc w:val="left"/>
            </w:pPr>
            <w:r>
              <w:rPr>
                <w:rFonts w:ascii="Times New Roman" w:hAnsi="Times New Roman" w:eastAsia="宋体"/>
                <w:b w:val="0"/>
                <w:sz w:val="21"/>
              </w:rPr>
              <w:t>合肥南方物流发展有限公司宿舍家具租赁服务采购项目</w:t>
            </w:r>
          </w:p>
        </w:tc>
      </w:tr>
      <w:tr w14:paraId="7FFA6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50" w:type="dxa"/>
            <w:vAlign w:val="center"/>
          </w:tcPr>
          <w:p w14:paraId="03ACAE7A">
            <w:pPr>
              <w:spacing w:after="0" w:line="276" w:lineRule="auto"/>
              <w:ind w:firstLine="0"/>
              <w:jc w:val="center"/>
            </w:pPr>
            <w:r>
              <w:rPr>
                <w:rFonts w:ascii="Times New Roman" w:hAnsi="Times New Roman" w:eastAsia="宋体"/>
                <w:b w:val="0"/>
                <w:sz w:val="21"/>
              </w:rPr>
              <w:t>2</w:t>
            </w:r>
          </w:p>
        </w:tc>
        <w:tc>
          <w:tcPr>
            <w:tcW w:w="1984" w:type="dxa"/>
            <w:vAlign w:val="center"/>
          </w:tcPr>
          <w:p w14:paraId="6A227B15">
            <w:pPr>
              <w:spacing w:after="0" w:line="276" w:lineRule="auto"/>
              <w:ind w:firstLine="0"/>
              <w:jc w:val="left"/>
            </w:pPr>
            <w:r>
              <w:rPr>
                <w:rFonts w:hint="eastAsia"/>
                <w:b w:val="0"/>
                <w:sz w:val="21"/>
                <w:lang w:eastAsia="zh-CN"/>
              </w:rPr>
              <w:t>采购方</w:t>
            </w:r>
          </w:p>
        </w:tc>
        <w:tc>
          <w:tcPr>
            <w:tcW w:w="6236" w:type="dxa"/>
            <w:vAlign w:val="center"/>
          </w:tcPr>
          <w:p w14:paraId="5C638E97">
            <w:pPr>
              <w:spacing w:after="0" w:line="276" w:lineRule="auto"/>
              <w:ind w:firstLine="0"/>
              <w:jc w:val="left"/>
            </w:pPr>
            <w:r>
              <w:rPr>
                <w:rFonts w:ascii="Times New Roman" w:hAnsi="Times New Roman" w:eastAsia="宋体"/>
                <w:b w:val="0"/>
                <w:sz w:val="21"/>
              </w:rPr>
              <w:t>合肥南方物流发展有限公司</w:t>
            </w:r>
          </w:p>
        </w:tc>
      </w:tr>
      <w:tr w14:paraId="00FCB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50" w:type="dxa"/>
            <w:vAlign w:val="center"/>
          </w:tcPr>
          <w:p w14:paraId="09D1C637">
            <w:pPr>
              <w:spacing w:after="0" w:line="276" w:lineRule="auto"/>
              <w:ind w:firstLine="0"/>
              <w:jc w:val="center"/>
            </w:pPr>
            <w:r>
              <w:rPr>
                <w:rFonts w:ascii="Times New Roman" w:hAnsi="Times New Roman" w:eastAsia="宋体"/>
                <w:b w:val="0"/>
                <w:sz w:val="21"/>
              </w:rPr>
              <w:t>3</w:t>
            </w:r>
          </w:p>
        </w:tc>
        <w:tc>
          <w:tcPr>
            <w:tcW w:w="1984" w:type="dxa"/>
            <w:vAlign w:val="center"/>
          </w:tcPr>
          <w:p w14:paraId="78C67F15">
            <w:pPr>
              <w:spacing w:after="0" w:line="276" w:lineRule="auto"/>
              <w:ind w:firstLine="0"/>
              <w:jc w:val="left"/>
            </w:pPr>
            <w:r>
              <w:rPr>
                <w:rFonts w:ascii="Times New Roman" w:hAnsi="Times New Roman" w:eastAsia="宋体"/>
                <w:b w:val="0"/>
                <w:sz w:val="21"/>
              </w:rPr>
              <w:t>租赁内容</w:t>
            </w:r>
          </w:p>
        </w:tc>
        <w:tc>
          <w:tcPr>
            <w:tcW w:w="6236" w:type="dxa"/>
            <w:vAlign w:val="center"/>
          </w:tcPr>
          <w:p w14:paraId="6F70F9F3">
            <w:pPr>
              <w:spacing w:after="0" w:line="276" w:lineRule="auto"/>
              <w:ind w:firstLine="0"/>
              <w:jc w:val="left"/>
            </w:pPr>
            <w:r>
              <w:rPr>
                <w:rFonts w:hint="eastAsia" w:ascii="Times New Roman" w:hAnsi="Times New Roman" w:eastAsia="宋体"/>
                <w:b w:val="0"/>
                <w:sz w:val="21"/>
              </w:rPr>
              <w:t>职工宿舍家具的租赁、运输、安装、维修保养及到期移交；按采购方实际需求分批配置，预计</w:t>
            </w:r>
            <w:r>
              <w:rPr>
                <w:rFonts w:hint="eastAsia"/>
                <w:b w:val="0"/>
                <w:sz w:val="21"/>
                <w:lang w:eastAsia="zh-CN"/>
              </w:rPr>
              <w:t>共</w:t>
            </w:r>
            <w:r>
              <w:rPr>
                <w:rFonts w:hint="eastAsia" w:ascii="Times New Roman" w:hAnsi="Times New Roman" w:eastAsia="宋体"/>
                <w:b w:val="0"/>
                <w:sz w:val="21"/>
              </w:rPr>
              <w:t>23间，最终按实际配置间数结算</w:t>
            </w:r>
          </w:p>
        </w:tc>
      </w:tr>
      <w:tr w14:paraId="0B23D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50" w:type="dxa"/>
            <w:vAlign w:val="center"/>
          </w:tcPr>
          <w:p w14:paraId="18B87B16">
            <w:pPr>
              <w:spacing w:after="0" w:line="276" w:lineRule="auto"/>
              <w:ind w:firstLine="0"/>
              <w:jc w:val="center"/>
            </w:pPr>
            <w:r>
              <w:rPr>
                <w:rFonts w:ascii="Times New Roman" w:hAnsi="Times New Roman" w:eastAsia="宋体"/>
                <w:b w:val="0"/>
                <w:sz w:val="21"/>
              </w:rPr>
              <w:t>4</w:t>
            </w:r>
          </w:p>
        </w:tc>
        <w:tc>
          <w:tcPr>
            <w:tcW w:w="1984" w:type="dxa"/>
            <w:vAlign w:val="center"/>
          </w:tcPr>
          <w:p w14:paraId="0F8F79CF">
            <w:pPr>
              <w:spacing w:after="0" w:line="276" w:lineRule="auto"/>
              <w:ind w:firstLine="0"/>
              <w:jc w:val="left"/>
            </w:pPr>
            <w:r>
              <w:rPr>
                <w:rFonts w:ascii="Times New Roman" w:hAnsi="Times New Roman" w:eastAsia="宋体"/>
                <w:b w:val="0"/>
                <w:sz w:val="21"/>
              </w:rPr>
              <w:t>租赁期限</w:t>
            </w:r>
          </w:p>
        </w:tc>
        <w:tc>
          <w:tcPr>
            <w:tcW w:w="6236" w:type="dxa"/>
            <w:vAlign w:val="center"/>
          </w:tcPr>
          <w:p w14:paraId="7458AF55">
            <w:pPr>
              <w:spacing w:after="0" w:line="276" w:lineRule="auto"/>
              <w:ind w:firstLine="0"/>
              <w:jc w:val="left"/>
            </w:pPr>
            <w:r>
              <w:rPr>
                <w:rFonts w:ascii="Times New Roman" w:hAnsi="Times New Roman" w:eastAsia="宋体"/>
                <w:b w:val="0"/>
                <w:sz w:val="21"/>
              </w:rPr>
              <w:t>2年</w:t>
            </w:r>
          </w:p>
        </w:tc>
      </w:tr>
      <w:tr w14:paraId="4CDBF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50" w:type="dxa"/>
            <w:vAlign w:val="center"/>
          </w:tcPr>
          <w:p w14:paraId="0866C670">
            <w:pPr>
              <w:spacing w:after="0" w:line="276" w:lineRule="auto"/>
              <w:ind w:firstLine="0"/>
              <w:jc w:val="center"/>
            </w:pPr>
            <w:r>
              <w:rPr>
                <w:rFonts w:ascii="Times New Roman" w:hAnsi="Times New Roman" w:eastAsia="宋体"/>
                <w:b w:val="0"/>
                <w:sz w:val="21"/>
              </w:rPr>
              <w:t>5</w:t>
            </w:r>
          </w:p>
        </w:tc>
        <w:tc>
          <w:tcPr>
            <w:tcW w:w="1984" w:type="dxa"/>
            <w:vAlign w:val="center"/>
          </w:tcPr>
          <w:p w14:paraId="5475FC76">
            <w:pPr>
              <w:spacing w:after="0" w:line="276" w:lineRule="auto"/>
              <w:ind w:firstLine="0"/>
              <w:jc w:val="left"/>
            </w:pPr>
            <w:r>
              <w:rPr>
                <w:rFonts w:ascii="Times New Roman" w:hAnsi="Times New Roman" w:eastAsia="宋体"/>
                <w:b w:val="0"/>
                <w:sz w:val="21"/>
              </w:rPr>
              <w:t>最高</w:t>
            </w:r>
            <w:r>
              <w:rPr>
                <w:rFonts w:hint="eastAsia"/>
                <w:b w:val="0"/>
                <w:sz w:val="21"/>
                <w:lang w:eastAsia="zh-CN"/>
              </w:rPr>
              <w:t>报价</w:t>
            </w:r>
            <w:r>
              <w:rPr>
                <w:rFonts w:ascii="Times New Roman" w:hAnsi="Times New Roman" w:eastAsia="宋体"/>
                <w:b w:val="0"/>
                <w:sz w:val="21"/>
              </w:rPr>
              <w:t>限价</w:t>
            </w:r>
          </w:p>
        </w:tc>
        <w:tc>
          <w:tcPr>
            <w:tcW w:w="6236" w:type="dxa"/>
            <w:vAlign w:val="center"/>
          </w:tcPr>
          <w:p w14:paraId="2435F25B">
            <w:pPr>
              <w:spacing w:after="0" w:line="276" w:lineRule="auto"/>
              <w:ind w:firstLine="0"/>
              <w:jc w:val="left"/>
              <w:rPr>
                <w:b/>
                <w:bCs/>
              </w:rPr>
            </w:pPr>
            <w:r>
              <w:rPr>
                <w:rFonts w:hint="eastAsia" w:ascii="Times New Roman" w:hAnsi="Times New Roman" w:eastAsia="宋体"/>
                <w:b/>
                <w:bCs/>
                <w:sz w:val="21"/>
              </w:rPr>
              <w:t>单间2年租金</w:t>
            </w:r>
            <w:r>
              <w:rPr>
                <w:rFonts w:hint="eastAsia"/>
                <w:b/>
                <w:bCs/>
                <w:sz w:val="21"/>
                <w:lang w:eastAsia="zh-CN"/>
              </w:rPr>
              <w:t>单价</w:t>
            </w:r>
            <w:r>
              <w:rPr>
                <w:rFonts w:hint="eastAsia" w:ascii="Times New Roman" w:hAnsi="Times New Roman" w:eastAsia="宋体"/>
                <w:b/>
                <w:bCs/>
                <w:sz w:val="21"/>
              </w:rPr>
              <w:t>不超过人民币5000元/间（含税）。最终租金按实际配置间数×单间</w:t>
            </w:r>
            <w:r>
              <w:rPr>
                <w:rFonts w:hint="eastAsia"/>
                <w:b/>
                <w:bCs/>
                <w:sz w:val="21"/>
                <w:lang w:val="en-US" w:eastAsia="zh-CN"/>
              </w:rPr>
              <w:t>2年</w:t>
            </w:r>
            <w:r>
              <w:rPr>
                <w:rFonts w:hint="eastAsia" w:ascii="Times New Roman" w:hAnsi="Times New Roman" w:eastAsia="宋体"/>
                <w:b/>
                <w:bCs/>
                <w:sz w:val="21"/>
              </w:rPr>
              <w:t>租金单价结算，预计23间总费用约11.5万元。报价超过最高限价的，按无效报价处理。</w:t>
            </w:r>
          </w:p>
        </w:tc>
      </w:tr>
      <w:tr w14:paraId="6884B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50" w:type="dxa"/>
            <w:vAlign w:val="center"/>
          </w:tcPr>
          <w:p w14:paraId="604AD0A8">
            <w:pPr>
              <w:spacing w:after="0" w:line="276" w:lineRule="auto"/>
              <w:ind w:firstLine="0"/>
              <w:jc w:val="center"/>
              <w:rPr>
                <w:rFonts w:hint="eastAsia" w:eastAsia="宋体"/>
                <w:lang w:eastAsia="zh-CN"/>
              </w:rPr>
            </w:pPr>
            <w:r>
              <w:rPr>
                <w:rFonts w:hint="eastAsia"/>
                <w:b w:val="0"/>
                <w:sz w:val="21"/>
                <w:lang w:val="en-US" w:eastAsia="zh-CN"/>
              </w:rPr>
              <w:t>6</w:t>
            </w:r>
          </w:p>
        </w:tc>
        <w:tc>
          <w:tcPr>
            <w:tcW w:w="1984" w:type="dxa"/>
            <w:vAlign w:val="center"/>
          </w:tcPr>
          <w:p w14:paraId="6B534374">
            <w:pPr>
              <w:spacing w:after="0" w:line="276" w:lineRule="auto"/>
              <w:ind w:firstLine="0"/>
              <w:jc w:val="left"/>
            </w:pPr>
            <w:r>
              <w:rPr>
                <w:rFonts w:ascii="Times New Roman" w:hAnsi="Times New Roman" w:eastAsia="宋体"/>
                <w:b w:val="0"/>
                <w:sz w:val="21"/>
              </w:rPr>
              <w:t>租金支付及保证金</w:t>
            </w:r>
          </w:p>
        </w:tc>
        <w:tc>
          <w:tcPr>
            <w:tcW w:w="6236" w:type="dxa"/>
            <w:vAlign w:val="center"/>
          </w:tcPr>
          <w:p w14:paraId="3630E4DC">
            <w:pPr>
              <w:spacing w:after="0" w:line="276" w:lineRule="auto"/>
              <w:ind w:firstLine="0"/>
              <w:jc w:val="left"/>
              <w:rPr>
                <w:rFonts w:hint="eastAsia" w:eastAsia="宋体"/>
                <w:b/>
                <w:bCs/>
                <w:lang w:eastAsia="zh-CN"/>
              </w:rPr>
            </w:pPr>
            <w:r>
              <w:rPr>
                <w:rFonts w:hint="eastAsia" w:ascii="Times New Roman" w:hAnsi="Times New Roman" w:eastAsia="宋体"/>
                <w:b/>
                <w:bCs/>
                <w:sz w:val="21"/>
              </w:rPr>
              <w:t>租金按实际配置间数结算；每批次家具安装验收合格后15个工作日内，采购方支付该批次对应租金的90%；每批次剩余10%作为履约保证金，</w:t>
            </w:r>
            <w:r>
              <w:rPr>
                <w:rFonts w:hint="eastAsia"/>
                <w:b/>
                <w:bCs/>
                <w:sz w:val="21"/>
                <w:lang w:val="en-US" w:eastAsia="zh-CN"/>
              </w:rPr>
              <w:t>2年</w:t>
            </w:r>
            <w:r>
              <w:rPr>
                <w:rFonts w:hint="eastAsia" w:ascii="Times New Roman" w:hAnsi="Times New Roman" w:eastAsia="宋体"/>
                <w:b/>
                <w:bCs/>
                <w:sz w:val="21"/>
              </w:rPr>
              <w:t>租赁期满后30日内无息退还</w:t>
            </w:r>
            <w:r>
              <w:rPr>
                <w:rFonts w:hint="eastAsia"/>
                <w:b/>
                <w:bCs/>
                <w:sz w:val="21"/>
                <w:lang w:eastAsia="zh-CN"/>
              </w:rPr>
              <w:t>。</w:t>
            </w:r>
          </w:p>
        </w:tc>
      </w:tr>
      <w:tr w14:paraId="5F776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50" w:type="dxa"/>
            <w:vAlign w:val="center"/>
          </w:tcPr>
          <w:p w14:paraId="1A5D3A74">
            <w:pPr>
              <w:spacing w:after="0" w:line="276" w:lineRule="auto"/>
              <w:ind w:firstLine="0"/>
              <w:jc w:val="center"/>
              <w:rPr>
                <w:rFonts w:hint="eastAsia" w:eastAsia="宋体"/>
                <w:lang w:eastAsia="zh-CN"/>
              </w:rPr>
            </w:pPr>
            <w:r>
              <w:rPr>
                <w:rFonts w:hint="eastAsia"/>
                <w:b w:val="0"/>
                <w:sz w:val="21"/>
                <w:lang w:val="en-US" w:eastAsia="zh-CN"/>
              </w:rPr>
              <w:t>7</w:t>
            </w:r>
          </w:p>
        </w:tc>
        <w:tc>
          <w:tcPr>
            <w:tcW w:w="1984" w:type="dxa"/>
            <w:vAlign w:val="center"/>
          </w:tcPr>
          <w:p w14:paraId="4AE85232">
            <w:pPr>
              <w:spacing w:after="0" w:line="276" w:lineRule="auto"/>
              <w:ind w:firstLine="0"/>
              <w:jc w:val="left"/>
              <w:rPr>
                <w:highlight w:val="none"/>
              </w:rPr>
            </w:pPr>
            <w:r>
              <w:rPr>
                <w:rFonts w:ascii="Times New Roman" w:hAnsi="Times New Roman" w:eastAsia="宋体"/>
                <w:b w:val="0"/>
                <w:sz w:val="21"/>
                <w:highlight w:val="none"/>
              </w:rPr>
              <w:t>租赁期满后家具处置</w:t>
            </w:r>
          </w:p>
        </w:tc>
        <w:tc>
          <w:tcPr>
            <w:tcW w:w="6236" w:type="dxa"/>
            <w:vAlign w:val="center"/>
          </w:tcPr>
          <w:p w14:paraId="795AA147">
            <w:pPr>
              <w:spacing w:after="0" w:line="276" w:lineRule="auto"/>
              <w:ind w:firstLine="0"/>
              <w:jc w:val="left"/>
              <w:rPr>
                <w:rFonts w:hint="eastAsia" w:eastAsia="宋体"/>
                <w:highlight w:val="none"/>
                <w:lang w:eastAsia="zh-CN"/>
              </w:rPr>
            </w:pPr>
            <w:r>
              <w:rPr>
                <w:rFonts w:hint="eastAsia"/>
                <w:b/>
                <w:bCs/>
                <w:sz w:val="21"/>
                <w:highlight w:val="none"/>
                <w:lang w:val="en-US" w:eastAsia="zh-CN"/>
              </w:rPr>
              <w:t>2年</w:t>
            </w:r>
            <w:r>
              <w:rPr>
                <w:rFonts w:ascii="Times New Roman" w:hAnsi="Times New Roman" w:eastAsia="宋体"/>
                <w:b/>
                <w:bCs/>
                <w:sz w:val="21"/>
                <w:highlight w:val="none"/>
              </w:rPr>
              <w:t>租赁期满后，</w:t>
            </w:r>
            <w:r>
              <w:rPr>
                <w:rFonts w:hint="eastAsia" w:ascii="Times New Roman" w:hAnsi="Times New Roman" w:eastAsia="宋体"/>
                <w:b/>
                <w:bCs/>
                <w:sz w:val="21"/>
                <w:highlight w:val="none"/>
              </w:rPr>
              <w:t>所有租赁物品就地留存于项目宿舍现场，</w:t>
            </w:r>
            <w:r>
              <w:rPr>
                <w:rFonts w:hint="eastAsia"/>
                <w:b/>
                <w:bCs/>
                <w:sz w:val="21"/>
                <w:highlight w:val="none"/>
                <w:lang w:eastAsia="zh-CN"/>
              </w:rPr>
              <w:t>采购方无偿使用，</w:t>
            </w:r>
            <w:r>
              <w:rPr>
                <w:rFonts w:hint="eastAsia" w:ascii="Times New Roman" w:hAnsi="Times New Roman" w:eastAsia="宋体"/>
                <w:b/>
                <w:bCs/>
                <w:sz w:val="21"/>
                <w:highlight w:val="none"/>
              </w:rPr>
              <w:t>中标人不得实施拆卸、搬离、回收、索要取回等任何行为</w:t>
            </w:r>
            <w:r>
              <w:rPr>
                <w:rFonts w:hint="eastAsia"/>
                <w:b/>
                <w:bCs/>
                <w:sz w:val="21"/>
                <w:highlight w:val="none"/>
                <w:lang w:eastAsia="zh-CN"/>
              </w:rPr>
              <w:t>。</w:t>
            </w:r>
          </w:p>
        </w:tc>
      </w:tr>
      <w:tr w14:paraId="145CD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50" w:type="dxa"/>
            <w:vAlign w:val="center"/>
          </w:tcPr>
          <w:p w14:paraId="3EF32589">
            <w:pPr>
              <w:spacing w:after="0" w:line="276" w:lineRule="auto"/>
              <w:ind w:firstLine="0"/>
              <w:jc w:val="center"/>
              <w:rPr>
                <w:rFonts w:hint="eastAsia" w:eastAsia="宋体"/>
                <w:lang w:eastAsia="zh-CN"/>
              </w:rPr>
            </w:pPr>
            <w:r>
              <w:rPr>
                <w:rFonts w:hint="eastAsia"/>
                <w:b w:val="0"/>
                <w:sz w:val="21"/>
                <w:lang w:val="en-US" w:eastAsia="zh-CN"/>
              </w:rPr>
              <w:t>8</w:t>
            </w:r>
          </w:p>
        </w:tc>
        <w:tc>
          <w:tcPr>
            <w:tcW w:w="1984" w:type="dxa"/>
            <w:vAlign w:val="center"/>
          </w:tcPr>
          <w:p w14:paraId="452CFC3F">
            <w:pPr>
              <w:spacing w:after="0" w:line="276" w:lineRule="auto"/>
              <w:ind w:firstLine="0"/>
              <w:jc w:val="left"/>
            </w:pPr>
            <w:r>
              <w:rPr>
                <w:rFonts w:ascii="Times New Roman" w:hAnsi="Times New Roman" w:eastAsia="宋体"/>
                <w:b w:val="0"/>
                <w:sz w:val="21"/>
              </w:rPr>
              <w:t>评标方式</w:t>
            </w:r>
          </w:p>
        </w:tc>
        <w:tc>
          <w:tcPr>
            <w:tcW w:w="6236" w:type="dxa"/>
            <w:vAlign w:val="center"/>
          </w:tcPr>
          <w:p w14:paraId="5654A1B4">
            <w:pPr>
              <w:spacing w:after="0" w:line="276" w:lineRule="auto"/>
              <w:ind w:firstLine="0"/>
              <w:jc w:val="left"/>
            </w:pPr>
            <w:r>
              <w:rPr>
                <w:rFonts w:ascii="Times New Roman" w:hAnsi="Times New Roman" w:eastAsia="宋体"/>
                <w:b w:val="0"/>
                <w:sz w:val="21"/>
              </w:rPr>
              <w:t>最低</w:t>
            </w:r>
            <w:r>
              <w:rPr>
                <w:rFonts w:hint="eastAsia"/>
                <w:b w:val="0"/>
                <w:sz w:val="21"/>
                <w:lang w:val="en-US" w:eastAsia="zh-CN"/>
              </w:rPr>
              <w:t>评标价</w:t>
            </w:r>
            <w:r>
              <w:rPr>
                <w:rFonts w:ascii="Times New Roman" w:hAnsi="Times New Roman" w:eastAsia="宋体"/>
                <w:b w:val="0"/>
                <w:sz w:val="21"/>
              </w:rPr>
              <w:t>法</w:t>
            </w:r>
          </w:p>
        </w:tc>
      </w:tr>
      <w:tr w14:paraId="069A3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50" w:type="dxa"/>
            <w:vAlign w:val="center"/>
          </w:tcPr>
          <w:p w14:paraId="0C5280CB">
            <w:pPr>
              <w:spacing w:after="0" w:line="276" w:lineRule="auto"/>
              <w:ind w:firstLine="0"/>
              <w:jc w:val="center"/>
              <w:rPr>
                <w:rFonts w:hint="default" w:eastAsia="宋体"/>
                <w:lang w:val="en-US" w:eastAsia="zh-CN"/>
              </w:rPr>
            </w:pPr>
            <w:r>
              <w:rPr>
                <w:rFonts w:hint="eastAsia"/>
                <w:b w:val="0"/>
                <w:sz w:val="21"/>
                <w:lang w:val="en-US" w:eastAsia="zh-CN"/>
              </w:rPr>
              <w:t>9</w:t>
            </w:r>
          </w:p>
        </w:tc>
        <w:tc>
          <w:tcPr>
            <w:tcW w:w="1984" w:type="dxa"/>
            <w:vAlign w:val="center"/>
          </w:tcPr>
          <w:p w14:paraId="53594178">
            <w:pPr>
              <w:spacing w:after="0" w:line="276" w:lineRule="auto"/>
              <w:ind w:firstLine="0"/>
              <w:jc w:val="left"/>
            </w:pPr>
            <w:r>
              <w:rPr>
                <w:rFonts w:ascii="Times New Roman" w:hAnsi="Times New Roman" w:eastAsia="宋体"/>
                <w:b w:val="0"/>
                <w:sz w:val="21"/>
              </w:rPr>
              <w:t>是否接受联合体</w:t>
            </w:r>
          </w:p>
        </w:tc>
        <w:tc>
          <w:tcPr>
            <w:tcW w:w="6236" w:type="dxa"/>
            <w:vAlign w:val="center"/>
          </w:tcPr>
          <w:p w14:paraId="599C7947">
            <w:pPr>
              <w:spacing w:after="0" w:line="276" w:lineRule="auto"/>
              <w:ind w:firstLine="0"/>
              <w:jc w:val="left"/>
            </w:pPr>
            <w:r>
              <w:rPr>
                <w:rFonts w:ascii="Times New Roman" w:hAnsi="Times New Roman" w:eastAsia="宋体"/>
                <w:b w:val="0"/>
                <w:sz w:val="21"/>
              </w:rPr>
              <w:t>不接受</w:t>
            </w:r>
          </w:p>
        </w:tc>
      </w:tr>
      <w:tr w14:paraId="4DE92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50" w:type="dxa"/>
            <w:vAlign w:val="center"/>
          </w:tcPr>
          <w:p w14:paraId="69EB0AC3">
            <w:pPr>
              <w:spacing w:after="0" w:line="276" w:lineRule="auto"/>
              <w:ind w:firstLine="0"/>
              <w:jc w:val="center"/>
              <w:rPr>
                <w:rFonts w:hint="default" w:eastAsia="宋体"/>
                <w:lang w:val="en-US" w:eastAsia="zh-CN"/>
              </w:rPr>
            </w:pPr>
            <w:r>
              <w:rPr>
                <w:rFonts w:hint="eastAsia"/>
                <w:b w:val="0"/>
                <w:sz w:val="21"/>
                <w:lang w:val="en-US" w:eastAsia="zh-CN"/>
              </w:rPr>
              <w:t>10</w:t>
            </w:r>
          </w:p>
        </w:tc>
        <w:tc>
          <w:tcPr>
            <w:tcW w:w="1984" w:type="dxa"/>
            <w:vAlign w:val="center"/>
          </w:tcPr>
          <w:p w14:paraId="066BEDDF">
            <w:pPr>
              <w:spacing w:after="0" w:line="276" w:lineRule="auto"/>
              <w:ind w:firstLine="0"/>
              <w:jc w:val="left"/>
              <w:rPr>
                <w:highlight w:val="none"/>
              </w:rPr>
            </w:pPr>
            <w:r>
              <w:rPr>
                <w:rFonts w:hint="eastAsia"/>
                <w:b w:val="0"/>
                <w:sz w:val="21"/>
                <w:highlight w:val="none"/>
                <w:lang w:eastAsia="zh-CN"/>
              </w:rPr>
              <w:t>响应文件</w:t>
            </w:r>
            <w:r>
              <w:rPr>
                <w:rFonts w:ascii="Times New Roman" w:hAnsi="Times New Roman" w:eastAsia="宋体"/>
                <w:b w:val="0"/>
                <w:sz w:val="21"/>
                <w:highlight w:val="none"/>
              </w:rPr>
              <w:t>份数</w:t>
            </w:r>
          </w:p>
        </w:tc>
        <w:tc>
          <w:tcPr>
            <w:tcW w:w="6236" w:type="dxa"/>
            <w:vAlign w:val="center"/>
          </w:tcPr>
          <w:p w14:paraId="6A040EB6">
            <w:pPr>
              <w:spacing w:after="0" w:line="276" w:lineRule="auto"/>
              <w:ind w:firstLine="0"/>
              <w:jc w:val="left"/>
              <w:rPr>
                <w:highlight w:val="none"/>
              </w:rPr>
            </w:pPr>
            <w:r>
              <w:rPr>
                <w:rFonts w:ascii="Times New Roman" w:hAnsi="Times New Roman" w:eastAsia="宋体"/>
                <w:b w:val="0"/>
                <w:sz w:val="21"/>
                <w:highlight w:val="none"/>
              </w:rPr>
              <w:t>纸质正本1份</w:t>
            </w:r>
          </w:p>
        </w:tc>
      </w:tr>
      <w:tr w14:paraId="26052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50" w:type="dxa"/>
            <w:vAlign w:val="center"/>
          </w:tcPr>
          <w:p w14:paraId="177FA0C7">
            <w:pPr>
              <w:spacing w:after="0" w:line="276" w:lineRule="auto"/>
              <w:ind w:firstLine="0"/>
              <w:jc w:val="center"/>
              <w:rPr>
                <w:rFonts w:hint="default" w:eastAsia="宋体"/>
                <w:lang w:val="en-US" w:eastAsia="zh-CN"/>
              </w:rPr>
            </w:pPr>
            <w:r>
              <w:rPr>
                <w:rFonts w:hint="eastAsia"/>
                <w:b w:val="0"/>
                <w:sz w:val="21"/>
                <w:lang w:val="en-US" w:eastAsia="zh-CN"/>
              </w:rPr>
              <w:t>11</w:t>
            </w:r>
          </w:p>
        </w:tc>
        <w:tc>
          <w:tcPr>
            <w:tcW w:w="1984" w:type="dxa"/>
            <w:vAlign w:val="center"/>
          </w:tcPr>
          <w:p w14:paraId="3D515021">
            <w:pPr>
              <w:spacing w:after="0" w:line="276" w:lineRule="auto"/>
              <w:ind w:firstLine="0"/>
              <w:jc w:val="left"/>
            </w:pPr>
            <w:r>
              <w:rPr>
                <w:rFonts w:ascii="Times New Roman" w:hAnsi="Times New Roman" w:eastAsia="宋体"/>
                <w:b w:val="0"/>
                <w:sz w:val="21"/>
              </w:rPr>
              <w:t>解释权</w:t>
            </w:r>
          </w:p>
        </w:tc>
        <w:tc>
          <w:tcPr>
            <w:tcW w:w="6236" w:type="dxa"/>
            <w:vAlign w:val="center"/>
          </w:tcPr>
          <w:p w14:paraId="78A6902C">
            <w:pPr>
              <w:spacing w:after="0" w:line="276" w:lineRule="auto"/>
              <w:ind w:firstLine="0"/>
              <w:jc w:val="left"/>
            </w:pPr>
            <w:r>
              <w:rPr>
                <w:rFonts w:ascii="Times New Roman" w:hAnsi="Times New Roman" w:eastAsia="宋体"/>
                <w:b w:val="0"/>
                <w:sz w:val="21"/>
              </w:rPr>
              <w:t>本</w:t>
            </w:r>
            <w:r>
              <w:rPr>
                <w:rFonts w:hint="eastAsia"/>
                <w:b w:val="0"/>
                <w:sz w:val="21"/>
                <w:lang w:eastAsia="zh-CN"/>
              </w:rPr>
              <w:t>询比</w:t>
            </w:r>
            <w:r>
              <w:rPr>
                <w:rFonts w:ascii="Times New Roman" w:hAnsi="Times New Roman" w:eastAsia="宋体"/>
                <w:b w:val="0"/>
                <w:sz w:val="21"/>
              </w:rPr>
              <w:t>文件的解释权归</w:t>
            </w:r>
            <w:r>
              <w:rPr>
                <w:rFonts w:hint="eastAsia"/>
                <w:b w:val="0"/>
                <w:sz w:val="21"/>
                <w:lang w:eastAsia="zh-CN"/>
              </w:rPr>
              <w:t>采购方</w:t>
            </w:r>
            <w:r>
              <w:rPr>
                <w:rFonts w:ascii="Times New Roman" w:hAnsi="Times New Roman" w:eastAsia="宋体"/>
                <w:b w:val="0"/>
                <w:sz w:val="21"/>
              </w:rPr>
              <w:t>所有</w:t>
            </w:r>
          </w:p>
        </w:tc>
      </w:tr>
    </w:tbl>
    <w:p w14:paraId="376C492B">
      <w:pPr>
        <w:spacing w:before="240" w:after="120" w:line="360" w:lineRule="auto"/>
        <w:ind w:firstLine="0"/>
      </w:pPr>
      <w:r>
        <w:rPr>
          <w:rFonts w:ascii="Times New Roman" w:hAnsi="Times New Roman" w:eastAsia="黑体"/>
          <w:b/>
          <w:sz w:val="28"/>
        </w:rPr>
        <w:t>二、</w:t>
      </w:r>
      <w:r>
        <w:rPr>
          <w:rFonts w:hint="eastAsia" w:eastAsia="黑体"/>
          <w:b/>
          <w:sz w:val="28"/>
          <w:lang w:eastAsia="zh-CN"/>
        </w:rPr>
        <w:t>供应商</w:t>
      </w:r>
      <w:r>
        <w:rPr>
          <w:rFonts w:ascii="Times New Roman" w:hAnsi="Times New Roman" w:eastAsia="黑体"/>
          <w:b/>
          <w:sz w:val="28"/>
        </w:rPr>
        <w:t>须知正文</w:t>
      </w:r>
    </w:p>
    <w:p w14:paraId="5FD87B98">
      <w:pPr>
        <w:spacing w:before="120" w:after="60" w:line="360" w:lineRule="auto"/>
        <w:ind w:firstLine="0"/>
        <w:rPr>
          <w:sz w:val="28"/>
          <w:szCs w:val="24"/>
        </w:rPr>
      </w:pPr>
      <w:r>
        <w:rPr>
          <w:rFonts w:ascii="Times New Roman" w:hAnsi="Times New Roman" w:eastAsia="黑体"/>
          <w:b/>
          <w:sz w:val="28"/>
          <w:szCs w:val="24"/>
        </w:rPr>
        <w:t>1. 总则</w:t>
      </w:r>
    </w:p>
    <w:p w14:paraId="215D6E9B">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1.1 本询比文件仅适用于本次询比公告中所载明项目的询比活动。</w:t>
      </w:r>
    </w:p>
    <w:p w14:paraId="043126B8">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1.2 供应商应自行承担所有与准备和参加报价有关的费用，无论报价结果如何，采购方均无义务和责任承担这些费用。</w:t>
      </w:r>
    </w:p>
    <w:p w14:paraId="6E461581">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1.3 本项目不接受联合体报价。</w:t>
      </w:r>
    </w:p>
    <w:p w14:paraId="097893DE">
      <w:pPr>
        <w:spacing w:before="120" w:after="60" w:line="360" w:lineRule="auto"/>
        <w:ind w:firstLine="0"/>
        <w:rPr>
          <w:sz w:val="28"/>
          <w:szCs w:val="24"/>
        </w:rPr>
      </w:pPr>
      <w:r>
        <w:rPr>
          <w:rFonts w:ascii="Times New Roman" w:hAnsi="Times New Roman" w:eastAsia="黑体"/>
          <w:b/>
          <w:sz w:val="28"/>
          <w:szCs w:val="24"/>
        </w:rPr>
        <w:t>2. 合格的</w:t>
      </w:r>
      <w:r>
        <w:rPr>
          <w:rFonts w:hint="eastAsia" w:eastAsia="黑体"/>
          <w:b/>
          <w:sz w:val="28"/>
          <w:szCs w:val="24"/>
          <w:lang w:eastAsia="zh-CN"/>
        </w:rPr>
        <w:t>供应商</w:t>
      </w:r>
    </w:p>
    <w:p w14:paraId="694E88BF">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2.1 符合询比公告规定的资格条件。</w:t>
      </w:r>
    </w:p>
    <w:p w14:paraId="7039536B">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2.2 供应商之间单位负责人为同一人或者存在直接控股、管理关系的，不得同时参加本项目报价。</w:t>
      </w:r>
    </w:p>
    <w:p w14:paraId="14625349">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2.3 供应商不得存在下列情形：近三年（以本询比文件发出之日起算向前追溯，成立时间不足三年的自成立之日起计算），供应商不得存在以下不良信用记录情形之一（响应文件提供承诺函并加盖公章即可）：</w:t>
      </w:r>
    </w:p>
    <w:p w14:paraId="753BAAAA">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①被人民法院列入失信被执行人的；</w:t>
      </w:r>
    </w:p>
    <w:p w14:paraId="18473B4F">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②被工商行政管理部门列入严重违法失信企业名单的；</w:t>
      </w:r>
    </w:p>
    <w:p w14:paraId="521186AA">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③被税务部门列入重大税收违法案件当事人名单的；</w:t>
      </w:r>
    </w:p>
    <w:p w14:paraId="769DCAFE">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④被政府招标监管部门列入政府招标严重违法失信行为记录名单的；</w:t>
      </w:r>
    </w:p>
    <w:p w14:paraId="3AD9545B">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⑤</w:t>
      </w:r>
      <w:r>
        <w:rPr>
          <w:rFonts w:hint="eastAsia" w:ascii="仿宋_GB2312" w:hAnsi="仿宋_GB2312" w:eastAsia="仿宋_GB2312" w:cs="仿宋_GB2312"/>
          <w:sz w:val="28"/>
          <w:szCs w:val="28"/>
          <w:lang w:eastAsia="zh-CN"/>
        </w:rPr>
        <w:t>被责令停业、暂扣或吊销营业执照、进入清算程序或破产。</w:t>
      </w:r>
    </w:p>
    <w:p w14:paraId="11640731">
      <w:pPr>
        <w:spacing w:before="120" w:after="60" w:line="360" w:lineRule="auto"/>
        <w:ind w:firstLine="0"/>
        <w:rPr>
          <w:sz w:val="28"/>
          <w:szCs w:val="24"/>
        </w:rPr>
      </w:pPr>
      <w:r>
        <w:rPr>
          <w:rFonts w:hint="eastAsia" w:eastAsia="黑体"/>
          <w:b/>
          <w:sz w:val="28"/>
          <w:szCs w:val="24"/>
          <w:lang w:val="en-US" w:eastAsia="zh-CN"/>
        </w:rPr>
        <w:t>3</w:t>
      </w:r>
      <w:r>
        <w:rPr>
          <w:rFonts w:ascii="Times New Roman" w:hAnsi="Times New Roman" w:eastAsia="黑体"/>
          <w:b/>
          <w:sz w:val="28"/>
          <w:szCs w:val="24"/>
        </w:rPr>
        <w:t xml:space="preserve">. </w:t>
      </w:r>
      <w:r>
        <w:rPr>
          <w:rFonts w:hint="eastAsia" w:eastAsia="黑体"/>
          <w:b/>
          <w:sz w:val="28"/>
          <w:szCs w:val="24"/>
          <w:lang w:eastAsia="zh-CN"/>
        </w:rPr>
        <w:t>响应文件</w:t>
      </w:r>
      <w:r>
        <w:rPr>
          <w:rFonts w:ascii="Times New Roman" w:hAnsi="Times New Roman" w:eastAsia="黑体"/>
          <w:b/>
          <w:sz w:val="28"/>
          <w:szCs w:val="24"/>
        </w:rPr>
        <w:t>的编制</w:t>
      </w:r>
    </w:p>
    <w:p w14:paraId="309161D5">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3.1 响应文件应按本文件规定的格式编写，包括但不限于：报价函、法定代表人身份证明或授权委托书、服务方案等。</w:t>
      </w:r>
    </w:p>
    <w:p w14:paraId="751C4A30">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3.2 响应文件应字迹清楚、内容齐全，按顺序装订成册。</w:t>
      </w:r>
    </w:p>
    <w:p w14:paraId="30B42D24">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 xml:space="preserve">3.3 </w:t>
      </w:r>
      <w:r>
        <w:rPr>
          <w:rFonts w:hint="eastAsia" w:ascii="仿宋_GB2312" w:hAnsi="仿宋_GB2312" w:eastAsia="仿宋_GB2312" w:cs="仿宋_GB2312"/>
          <w:b/>
          <w:bCs/>
          <w:sz w:val="28"/>
          <w:szCs w:val="28"/>
          <w:lang w:val="en-US" w:eastAsia="zh-CN"/>
        </w:rPr>
        <w:t>报价应为完成本项目全部服务内容的单间2年租金单价（含税），包含家具设备、运输、安装、维修保养、保险、税费、到期移交及利润等一切费用。最终租金按实际配置间数×单间2年租金单价结算。</w:t>
      </w:r>
    </w:p>
    <w:p w14:paraId="01E37A09">
      <w:pPr>
        <w:spacing w:before="120" w:after="60" w:line="360" w:lineRule="auto"/>
        <w:ind w:firstLine="0"/>
        <w:rPr>
          <w:sz w:val="28"/>
          <w:szCs w:val="24"/>
          <w:highlight w:val="none"/>
        </w:rPr>
      </w:pPr>
      <w:r>
        <w:rPr>
          <w:rFonts w:hint="eastAsia" w:eastAsia="黑体"/>
          <w:b/>
          <w:sz w:val="28"/>
          <w:szCs w:val="24"/>
          <w:highlight w:val="none"/>
          <w:lang w:val="en-US" w:eastAsia="zh-CN"/>
        </w:rPr>
        <w:t>4</w:t>
      </w:r>
      <w:r>
        <w:rPr>
          <w:rFonts w:ascii="Times New Roman" w:hAnsi="Times New Roman" w:eastAsia="黑体"/>
          <w:b/>
          <w:sz w:val="28"/>
          <w:szCs w:val="24"/>
          <w:highlight w:val="none"/>
        </w:rPr>
        <w:t xml:space="preserve">. </w:t>
      </w:r>
      <w:r>
        <w:rPr>
          <w:rFonts w:hint="eastAsia" w:eastAsia="黑体"/>
          <w:b/>
          <w:sz w:val="28"/>
          <w:szCs w:val="24"/>
          <w:highlight w:val="none"/>
          <w:lang w:eastAsia="zh-CN"/>
        </w:rPr>
        <w:t>响应文件</w:t>
      </w:r>
      <w:r>
        <w:rPr>
          <w:rFonts w:ascii="Times New Roman" w:hAnsi="Times New Roman" w:eastAsia="黑体"/>
          <w:b/>
          <w:sz w:val="28"/>
          <w:szCs w:val="24"/>
          <w:highlight w:val="none"/>
        </w:rPr>
        <w:t>的递交</w:t>
      </w:r>
    </w:p>
    <w:p w14:paraId="1AC0FE28">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4.1 供应商应在递交截止时间前，将密封完好的</w:t>
      </w:r>
      <w:r>
        <w:rPr>
          <w:rFonts w:hint="eastAsia" w:ascii="仿宋_GB2312" w:hAnsi="仿宋_GB2312" w:eastAsia="仿宋_GB2312" w:cs="仿宋_GB2312"/>
          <w:b/>
          <w:bCs/>
          <w:sz w:val="28"/>
          <w:szCs w:val="28"/>
          <w:lang w:val="en-US" w:eastAsia="zh-CN"/>
        </w:rPr>
        <w:t>盖章</w:t>
      </w:r>
      <w:r>
        <w:rPr>
          <w:rFonts w:hint="eastAsia" w:ascii="仿宋_GB2312" w:hAnsi="仿宋_GB2312" w:eastAsia="仿宋_GB2312" w:cs="仿宋_GB2312"/>
          <w:sz w:val="28"/>
          <w:szCs w:val="28"/>
          <w:lang w:val="en-US" w:eastAsia="zh-CN"/>
        </w:rPr>
        <w:t>响应文件送达指</w:t>
      </w:r>
      <w:r>
        <w:rPr>
          <w:rFonts w:hint="eastAsia" w:ascii="仿宋_GB2312" w:hAnsi="仿宋_GB2312" w:eastAsia="仿宋_GB2312" w:cs="仿宋_GB2312"/>
          <w:sz w:val="28"/>
          <w:szCs w:val="28"/>
          <w:highlight w:val="none"/>
          <w:lang w:val="en-US" w:eastAsia="zh-CN"/>
        </w:rPr>
        <w:t>定地点：</w:t>
      </w:r>
      <w:r>
        <w:rPr>
          <w:rFonts w:hint="eastAsia" w:ascii="仿宋_GB2312" w:hAnsi="仿宋_GB2312" w:eastAsia="仿宋_GB2312" w:cs="仿宋_GB2312"/>
          <w:b/>
          <w:bCs/>
          <w:sz w:val="28"/>
          <w:szCs w:val="28"/>
          <w:highlight w:val="none"/>
          <w:lang w:val="en-US" w:eastAsia="zh-CN"/>
        </w:rPr>
        <w:t>合肥市庐阳区故黄路1号4层（合肥南方物流发展有限公司）</w:t>
      </w:r>
      <w:r>
        <w:rPr>
          <w:rFonts w:hint="eastAsia" w:ascii="仿宋_GB2312" w:hAnsi="仿宋_GB2312" w:eastAsia="仿宋_GB2312" w:cs="仿宋_GB2312"/>
          <w:sz w:val="28"/>
          <w:szCs w:val="28"/>
          <w:highlight w:val="none"/>
          <w:lang w:val="en-US" w:eastAsia="zh-CN"/>
        </w:rPr>
        <w:t>。</w:t>
      </w:r>
      <w:r>
        <w:rPr>
          <w:rFonts w:hint="eastAsia" w:ascii="仿宋_GB2312" w:hAnsi="仿宋_GB2312" w:eastAsia="仿宋_GB2312" w:cs="仿宋_GB2312"/>
          <w:sz w:val="28"/>
          <w:szCs w:val="28"/>
          <w:lang w:val="en-US" w:eastAsia="zh-CN"/>
        </w:rPr>
        <w:t>供应商提交的响应文件必须密封且须在封口处加盖供应商公章，否则采购人有权拒绝接收其响应文件。</w:t>
      </w:r>
    </w:p>
    <w:p w14:paraId="1F5800C9">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4.2 逾期送达、未递交至指定地点或未按要求密封的响应文件将被拒绝接收。若因快递原因导致响应文件未完全密封或送达延误，相关后果均由供应商自行承担。</w:t>
      </w:r>
    </w:p>
    <w:p w14:paraId="5D4A45CC">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4.3 供应商在报价截止时间前，可以补充、修改或撤回已递交的响应文件，但应以书面形式通知采购方。</w:t>
      </w:r>
    </w:p>
    <w:p w14:paraId="06817496">
      <w:pPr>
        <w:widowControl w:val="0"/>
        <w:topLinePunct/>
        <w:spacing w:line="560" w:lineRule="exact"/>
        <w:ind w:firstLine="560" w:firstLineChars="200"/>
        <w:rPr>
          <w:rFonts w:hint="eastAsia"/>
          <w:lang w:val="en-US" w:eastAsia="zh-CN"/>
        </w:rPr>
      </w:pPr>
      <w:r>
        <w:rPr>
          <w:rFonts w:hint="eastAsia" w:ascii="仿宋_GB2312" w:hAnsi="仿宋_GB2312" w:eastAsia="仿宋_GB2312" w:cs="仿宋_GB2312"/>
          <w:sz w:val="28"/>
          <w:szCs w:val="28"/>
          <w:lang w:val="en-US" w:eastAsia="zh-CN"/>
        </w:rPr>
        <w:t>4.4各供应商应保证所提供材料的真实合法性，采购方保留对相关材料进一步核查的权利，对于弄虚作假行为或存在串通响应行为的，采购方有权取消其中标资格，后果由供应商自行承担。</w:t>
      </w:r>
    </w:p>
    <w:p w14:paraId="720754BB">
      <w:pPr>
        <w:spacing w:before="120" w:after="60" w:line="360" w:lineRule="auto"/>
        <w:ind w:firstLine="0"/>
        <w:rPr>
          <w:sz w:val="28"/>
          <w:szCs w:val="24"/>
        </w:rPr>
      </w:pPr>
      <w:r>
        <w:rPr>
          <w:rFonts w:hint="eastAsia" w:eastAsia="黑体"/>
          <w:b/>
          <w:sz w:val="28"/>
          <w:szCs w:val="24"/>
          <w:lang w:val="en-US" w:eastAsia="zh-CN"/>
        </w:rPr>
        <w:t>5</w:t>
      </w:r>
      <w:r>
        <w:rPr>
          <w:rFonts w:ascii="Times New Roman" w:hAnsi="Times New Roman" w:eastAsia="黑体"/>
          <w:b/>
          <w:sz w:val="28"/>
          <w:szCs w:val="24"/>
        </w:rPr>
        <w:t>. 开标与评标</w:t>
      </w:r>
    </w:p>
    <w:p w14:paraId="6FD91CB0">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5.1 采购方在开标时间和地点开标。</w:t>
      </w:r>
    </w:p>
    <w:p w14:paraId="0FE994FE">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5.2 评标由采购方组建的评标委员会负责，采用最低评标价法。</w:t>
      </w:r>
    </w:p>
    <w:p w14:paraId="7110D84B">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5.3 评标委员会按照报价由低到高顺序，对通过评审的供应商进行排序，推荐第一中标候选人。</w:t>
      </w:r>
    </w:p>
    <w:p w14:paraId="429DA7C1">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5.4 评标过程严格保密，任何单位和个人不得非法干预、影响评标过程和结果。</w:t>
      </w:r>
    </w:p>
    <w:p w14:paraId="75C7D2EE">
      <w:pPr>
        <w:spacing w:before="120" w:after="60" w:line="360" w:lineRule="auto"/>
        <w:ind w:firstLine="0"/>
        <w:rPr>
          <w:sz w:val="28"/>
          <w:szCs w:val="24"/>
        </w:rPr>
      </w:pPr>
      <w:r>
        <w:rPr>
          <w:rFonts w:hint="eastAsia" w:eastAsia="黑体"/>
          <w:b/>
          <w:sz w:val="28"/>
          <w:szCs w:val="24"/>
          <w:lang w:val="en-US" w:eastAsia="zh-CN"/>
        </w:rPr>
        <w:t>6</w:t>
      </w:r>
      <w:r>
        <w:rPr>
          <w:rFonts w:ascii="Times New Roman" w:hAnsi="Times New Roman" w:eastAsia="黑体"/>
          <w:b/>
          <w:sz w:val="28"/>
          <w:szCs w:val="24"/>
        </w:rPr>
        <w:t>. 纪律与监督</w:t>
      </w:r>
    </w:p>
    <w:p w14:paraId="0802D67B">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lang w:eastAsia="zh-CN"/>
        </w:rPr>
        <w:t>.1 参与询比活动的工作人员不得收受供应商财物或其他好处，不得泄露评审情况。</w:t>
      </w:r>
    </w:p>
    <w:p w14:paraId="6BC431E3">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lang w:eastAsia="zh-CN"/>
        </w:rPr>
        <w:t>.2 供应商不得相互串通报价，不得以行贿等不正当手段谋取中标，不得提供虚假材料。</w:t>
      </w:r>
    </w:p>
    <w:p w14:paraId="5D917D28">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lang w:eastAsia="zh-CN"/>
        </w:rPr>
        <w:t>.3 监督举报电话：0551-64480394。</w:t>
      </w:r>
    </w:p>
    <w:p w14:paraId="0110F7F1">
      <w:r>
        <w:br w:type="page"/>
      </w:r>
    </w:p>
    <w:p w14:paraId="34CFB36B">
      <w:pPr>
        <w:spacing w:before="360" w:after="240" w:line="360" w:lineRule="auto"/>
        <w:ind w:firstLine="0"/>
        <w:jc w:val="center"/>
        <w:outlineLvl w:val="0"/>
      </w:pPr>
      <w:bookmarkStart w:id="2" w:name="_Toc2118500916"/>
      <w:r>
        <w:rPr>
          <w:rFonts w:ascii="Times New Roman" w:hAnsi="Times New Roman" w:eastAsia="黑体"/>
          <w:b/>
          <w:sz w:val="32"/>
        </w:rPr>
        <w:t>第三章  采购需求及服务要求</w:t>
      </w:r>
      <w:bookmarkEnd w:id="2"/>
    </w:p>
    <w:p w14:paraId="235ABF2A">
      <w:pPr>
        <w:spacing w:before="240" w:after="120" w:line="360" w:lineRule="auto"/>
        <w:ind w:firstLine="0"/>
      </w:pPr>
      <w:r>
        <w:rPr>
          <w:rFonts w:ascii="Times New Roman" w:hAnsi="Times New Roman" w:eastAsia="黑体"/>
          <w:b/>
          <w:sz w:val="28"/>
        </w:rPr>
        <w:t>一、项目概况</w:t>
      </w:r>
    </w:p>
    <w:p w14:paraId="3AE1A244">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b/>
          <w:bCs/>
          <w:sz w:val="28"/>
          <w:szCs w:val="28"/>
          <w:lang w:eastAsia="zh-CN"/>
        </w:rPr>
      </w:pPr>
      <w:r>
        <w:rPr>
          <w:rFonts w:hint="eastAsia" w:ascii="仿宋_GB2312" w:hAnsi="仿宋_GB2312" w:eastAsia="仿宋_GB2312" w:cs="仿宋_GB2312"/>
          <w:sz w:val="28"/>
          <w:szCs w:val="28"/>
          <w:lang w:eastAsia="zh-CN"/>
        </w:rPr>
        <w:t>因园区发展需要</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eastAsia="zh-CN"/>
        </w:rPr>
        <w:t>采购方</w:t>
      </w:r>
      <w:r>
        <w:rPr>
          <w:rFonts w:hint="eastAsia" w:ascii="仿宋_GB2312" w:hAnsi="仿宋_GB2312" w:eastAsia="仿宋_GB2312" w:cs="仿宋_GB2312"/>
          <w:sz w:val="28"/>
          <w:szCs w:val="28"/>
        </w:rPr>
        <w:t>拟对宿舍进行家具</w:t>
      </w:r>
      <w:r>
        <w:rPr>
          <w:rFonts w:hint="eastAsia" w:ascii="仿宋_GB2312" w:hAnsi="仿宋_GB2312" w:eastAsia="仿宋_GB2312" w:cs="仿宋_GB2312"/>
          <w:sz w:val="28"/>
          <w:szCs w:val="28"/>
          <w:lang w:eastAsia="zh-CN"/>
        </w:rPr>
        <w:t>及电器</w:t>
      </w:r>
      <w:r>
        <w:rPr>
          <w:rFonts w:hint="eastAsia" w:ascii="仿宋_GB2312" w:hAnsi="仿宋_GB2312" w:eastAsia="仿宋_GB2312" w:cs="仿宋_GB2312"/>
          <w:sz w:val="28"/>
          <w:szCs w:val="28"/>
        </w:rPr>
        <w:t>配置。</w:t>
      </w:r>
      <w:r>
        <w:rPr>
          <w:rFonts w:hint="eastAsia" w:ascii="仿宋_GB2312" w:hAnsi="仿宋_GB2312" w:eastAsia="仿宋_GB2312" w:cs="仿宋_GB2312"/>
          <w:b/>
          <w:bCs/>
          <w:sz w:val="28"/>
          <w:szCs w:val="28"/>
        </w:rPr>
        <w:t>本次采购方式为租赁，由中标人负责家具</w:t>
      </w:r>
      <w:r>
        <w:rPr>
          <w:rFonts w:hint="eastAsia" w:ascii="仿宋_GB2312" w:hAnsi="仿宋_GB2312" w:eastAsia="仿宋_GB2312" w:cs="仿宋_GB2312"/>
          <w:b/>
          <w:bCs/>
          <w:sz w:val="28"/>
          <w:szCs w:val="28"/>
          <w:lang w:eastAsia="zh-CN"/>
        </w:rPr>
        <w:t>及电器</w:t>
      </w:r>
      <w:r>
        <w:rPr>
          <w:rFonts w:hint="eastAsia" w:ascii="仿宋_GB2312" w:hAnsi="仿宋_GB2312" w:eastAsia="仿宋_GB2312" w:cs="仿宋_GB2312"/>
          <w:b/>
          <w:bCs/>
          <w:sz w:val="28"/>
          <w:szCs w:val="28"/>
        </w:rPr>
        <w:t>的</w:t>
      </w:r>
      <w:r>
        <w:rPr>
          <w:rFonts w:hint="eastAsia" w:ascii="仿宋_GB2312" w:hAnsi="仿宋_GB2312" w:eastAsia="仿宋_GB2312" w:cs="仿宋_GB2312"/>
          <w:b/>
          <w:bCs/>
          <w:sz w:val="28"/>
          <w:szCs w:val="28"/>
          <w:lang w:eastAsia="zh-CN"/>
        </w:rPr>
        <w:t>供应</w:t>
      </w:r>
      <w:r>
        <w:rPr>
          <w:rFonts w:hint="eastAsia" w:ascii="仿宋_GB2312" w:hAnsi="仿宋_GB2312" w:eastAsia="仿宋_GB2312" w:cs="仿宋_GB2312"/>
          <w:b/>
          <w:bCs/>
          <w:sz w:val="28"/>
          <w:szCs w:val="28"/>
        </w:rPr>
        <w:t>、运输、安装、日常维护、维修更换</w:t>
      </w:r>
      <w:r>
        <w:rPr>
          <w:rFonts w:hint="eastAsia" w:ascii="仿宋_GB2312" w:hAnsi="仿宋_GB2312" w:eastAsia="仿宋_GB2312" w:cs="仿宋_GB2312"/>
          <w:b/>
          <w:bCs/>
          <w:sz w:val="28"/>
          <w:szCs w:val="28"/>
          <w:lang w:eastAsia="zh-CN"/>
        </w:rPr>
        <w:t>。</w:t>
      </w:r>
      <w:r>
        <w:rPr>
          <w:rFonts w:hint="eastAsia" w:ascii="仿宋_GB2312" w:hAnsi="仿宋_GB2312" w:eastAsia="仿宋_GB2312" w:cs="仿宋_GB2312"/>
          <w:b/>
          <w:bCs/>
          <w:sz w:val="28"/>
          <w:szCs w:val="28"/>
        </w:rPr>
        <w:t>因宿舍入住人数逐步增加，采购方将根据实际需求分批配置，最终按实际配置间数结算</w:t>
      </w:r>
      <w:r>
        <w:rPr>
          <w:rFonts w:hint="eastAsia" w:ascii="仿宋_GB2312" w:hAnsi="仿宋_GB2312" w:eastAsia="仿宋_GB2312" w:cs="仿宋_GB2312"/>
          <w:b/>
          <w:bCs/>
          <w:sz w:val="28"/>
          <w:szCs w:val="28"/>
          <w:lang w:eastAsia="zh-CN"/>
        </w:rPr>
        <w:t>。</w:t>
      </w:r>
      <w:r>
        <w:rPr>
          <w:rFonts w:hint="eastAsia" w:ascii="仿宋_GB2312" w:hAnsi="仿宋_GB2312" w:eastAsia="仿宋_GB2312" w:cs="仿宋_GB2312"/>
          <w:b/>
          <w:bCs/>
          <w:sz w:val="28"/>
          <w:szCs w:val="28"/>
          <w:lang w:val="en-US" w:eastAsia="zh-CN"/>
        </w:rPr>
        <w:t>2年</w:t>
      </w:r>
      <w:r>
        <w:rPr>
          <w:rFonts w:hint="eastAsia" w:ascii="仿宋_GB2312" w:hAnsi="仿宋_GB2312" w:eastAsia="仿宋_GB2312" w:cs="仿宋_GB2312"/>
          <w:b/>
          <w:bCs/>
          <w:sz w:val="28"/>
          <w:szCs w:val="28"/>
        </w:rPr>
        <w:t>租赁期满后，所有租赁物品就地留存于项目宿舍现场，</w:t>
      </w:r>
      <w:r>
        <w:rPr>
          <w:rFonts w:hint="eastAsia" w:ascii="仿宋_GB2312" w:hAnsi="仿宋_GB2312" w:eastAsia="仿宋_GB2312" w:cs="仿宋_GB2312"/>
          <w:b/>
          <w:bCs/>
          <w:sz w:val="28"/>
          <w:szCs w:val="28"/>
          <w:lang w:eastAsia="zh-CN"/>
        </w:rPr>
        <w:t>采购方</w:t>
      </w:r>
      <w:r>
        <w:rPr>
          <w:rFonts w:hint="eastAsia" w:ascii="仿宋_GB2312" w:hAnsi="仿宋_GB2312" w:eastAsia="仿宋_GB2312" w:cs="仿宋_GB2312"/>
          <w:b/>
          <w:bCs/>
          <w:sz w:val="28"/>
          <w:szCs w:val="28"/>
        </w:rPr>
        <w:t>无偿使用，中标人不得实施拆卸、搬离、回收、索要取回等任何行为</w:t>
      </w:r>
      <w:r>
        <w:rPr>
          <w:rFonts w:hint="eastAsia" w:ascii="仿宋_GB2312" w:hAnsi="仿宋_GB2312" w:eastAsia="仿宋_GB2312" w:cs="仿宋_GB2312"/>
          <w:b/>
          <w:bCs/>
          <w:sz w:val="28"/>
          <w:szCs w:val="28"/>
          <w:lang w:eastAsia="zh-CN"/>
        </w:rPr>
        <w:t>。</w:t>
      </w:r>
    </w:p>
    <w:p w14:paraId="6983919D">
      <w:pPr>
        <w:spacing w:before="240" w:after="120" w:line="360" w:lineRule="auto"/>
        <w:ind w:firstLine="0"/>
      </w:pPr>
      <w:r>
        <w:rPr>
          <w:rFonts w:ascii="Times New Roman" w:hAnsi="Times New Roman" w:eastAsia="黑体"/>
          <w:b/>
          <w:sz w:val="28"/>
        </w:rPr>
        <w:t>二、租赁家具配置清单</w:t>
      </w:r>
    </w:p>
    <w:p w14:paraId="700CA44E">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每间宿舍按4人配置，具体清单如下（高低床可提供</w:t>
      </w:r>
      <w:r>
        <w:rPr>
          <w:rFonts w:hint="eastAsia" w:ascii="仿宋_GB2312" w:hAnsi="仿宋_GB2312" w:eastAsia="仿宋_GB2312" w:cs="仿宋_GB2312"/>
          <w:sz w:val="28"/>
          <w:szCs w:val="28"/>
          <w:lang w:eastAsia="zh-CN"/>
        </w:rPr>
        <w:t>九成新以上</w:t>
      </w:r>
      <w:r>
        <w:rPr>
          <w:rFonts w:hint="eastAsia" w:ascii="仿宋_GB2312" w:hAnsi="仿宋_GB2312" w:eastAsia="仿宋_GB2312" w:cs="仿宋_GB2312"/>
          <w:sz w:val="28"/>
          <w:szCs w:val="28"/>
        </w:rPr>
        <w:t>的二手产品，储物柜、空调、窗帘须为全新正品）：</w:t>
      </w:r>
    </w:p>
    <w:tbl>
      <w:tblPr>
        <w:tblStyle w:val="3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0"/>
        <w:gridCol w:w="1196"/>
        <w:gridCol w:w="3480"/>
        <w:gridCol w:w="720"/>
        <w:gridCol w:w="1080"/>
        <w:gridCol w:w="680"/>
      </w:tblGrid>
      <w:tr w14:paraId="20570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vAlign w:val="center"/>
          </w:tcPr>
          <w:p w14:paraId="30B7321D">
            <w:pPr>
              <w:spacing w:after="0"/>
              <w:ind w:firstLine="0"/>
              <w:jc w:val="center"/>
            </w:pPr>
            <w:r>
              <w:rPr>
                <w:rFonts w:ascii="Times New Roman" w:hAnsi="Times New Roman" w:eastAsia="黑体"/>
                <w:b/>
                <w:sz w:val="21"/>
              </w:rPr>
              <w:t>序号</w:t>
            </w:r>
          </w:p>
        </w:tc>
        <w:tc>
          <w:tcPr>
            <w:tcW w:w="1196" w:type="dxa"/>
            <w:vAlign w:val="center"/>
          </w:tcPr>
          <w:p w14:paraId="66AC4517">
            <w:pPr>
              <w:spacing w:after="0"/>
              <w:ind w:firstLine="0"/>
              <w:jc w:val="center"/>
            </w:pPr>
            <w:r>
              <w:rPr>
                <w:rFonts w:ascii="Times New Roman" w:hAnsi="Times New Roman" w:eastAsia="黑体"/>
                <w:b/>
                <w:sz w:val="21"/>
              </w:rPr>
              <w:t>家具名称</w:t>
            </w:r>
          </w:p>
        </w:tc>
        <w:tc>
          <w:tcPr>
            <w:tcW w:w="3480" w:type="dxa"/>
            <w:vAlign w:val="center"/>
          </w:tcPr>
          <w:p w14:paraId="34457AFC">
            <w:pPr>
              <w:spacing w:after="0"/>
              <w:ind w:firstLine="0"/>
              <w:jc w:val="center"/>
            </w:pPr>
            <w:r>
              <w:rPr>
                <w:rFonts w:ascii="Times New Roman" w:hAnsi="Times New Roman" w:eastAsia="黑体"/>
                <w:b/>
                <w:sz w:val="21"/>
              </w:rPr>
              <w:t>规格及技术要求</w:t>
            </w:r>
          </w:p>
        </w:tc>
        <w:tc>
          <w:tcPr>
            <w:tcW w:w="720" w:type="dxa"/>
            <w:vAlign w:val="center"/>
          </w:tcPr>
          <w:p w14:paraId="637DF29E">
            <w:pPr>
              <w:spacing w:after="0"/>
              <w:ind w:firstLine="0"/>
              <w:jc w:val="center"/>
            </w:pPr>
            <w:r>
              <w:rPr>
                <w:rFonts w:ascii="Times New Roman" w:hAnsi="Times New Roman" w:eastAsia="黑体"/>
                <w:b/>
                <w:sz w:val="21"/>
              </w:rPr>
              <w:t>单位</w:t>
            </w:r>
          </w:p>
        </w:tc>
        <w:tc>
          <w:tcPr>
            <w:tcW w:w="1080" w:type="dxa"/>
            <w:vAlign w:val="center"/>
          </w:tcPr>
          <w:p w14:paraId="76B8C00E">
            <w:pPr>
              <w:spacing w:after="0"/>
              <w:ind w:firstLine="0"/>
              <w:jc w:val="center"/>
            </w:pPr>
            <w:r>
              <w:rPr>
                <w:rFonts w:ascii="Times New Roman" w:hAnsi="Times New Roman" w:eastAsia="黑体"/>
                <w:b/>
                <w:sz w:val="21"/>
              </w:rPr>
              <w:t>单间数量</w:t>
            </w:r>
          </w:p>
        </w:tc>
        <w:tc>
          <w:tcPr>
            <w:tcW w:w="680" w:type="dxa"/>
            <w:shd w:val="clear" w:color="auto" w:fill="D9D9D9"/>
            <w:vAlign w:val="center"/>
          </w:tcPr>
          <w:p w14:paraId="612D0738">
            <w:pPr>
              <w:spacing w:after="0"/>
              <w:ind w:firstLine="0"/>
              <w:jc w:val="center"/>
            </w:pPr>
            <w:r>
              <w:rPr>
                <w:rFonts w:ascii="Times New Roman" w:hAnsi="Times New Roman" w:eastAsia="黑体"/>
                <w:b/>
                <w:sz w:val="21"/>
              </w:rPr>
              <w:t>新旧要求</w:t>
            </w:r>
          </w:p>
        </w:tc>
      </w:tr>
      <w:tr w14:paraId="1A297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vAlign w:val="center"/>
          </w:tcPr>
          <w:p w14:paraId="1838351A">
            <w:pPr>
              <w:spacing w:after="0" w:line="276" w:lineRule="auto"/>
              <w:ind w:firstLine="0"/>
              <w:jc w:val="center"/>
              <w:rPr>
                <w:highlight w:val="none"/>
              </w:rPr>
            </w:pPr>
            <w:r>
              <w:rPr>
                <w:rFonts w:ascii="Times New Roman" w:hAnsi="Times New Roman" w:eastAsia="宋体"/>
                <w:b w:val="0"/>
                <w:sz w:val="21"/>
                <w:highlight w:val="none"/>
              </w:rPr>
              <w:t>1</w:t>
            </w:r>
          </w:p>
        </w:tc>
        <w:tc>
          <w:tcPr>
            <w:tcW w:w="1196" w:type="dxa"/>
            <w:vAlign w:val="center"/>
          </w:tcPr>
          <w:p w14:paraId="6D3F0A57">
            <w:pPr>
              <w:spacing w:after="0" w:line="276" w:lineRule="auto"/>
              <w:ind w:firstLine="0"/>
              <w:jc w:val="left"/>
              <w:rPr>
                <w:highlight w:val="none"/>
              </w:rPr>
            </w:pPr>
            <w:r>
              <w:rPr>
                <w:rFonts w:ascii="Times New Roman" w:hAnsi="Times New Roman" w:eastAsia="宋体"/>
                <w:b w:val="0"/>
                <w:sz w:val="21"/>
                <w:highlight w:val="none"/>
              </w:rPr>
              <w:t>高低床</w:t>
            </w:r>
          </w:p>
        </w:tc>
        <w:tc>
          <w:tcPr>
            <w:tcW w:w="3480" w:type="dxa"/>
            <w:vAlign w:val="center"/>
          </w:tcPr>
          <w:p w14:paraId="79FE461C">
            <w:pPr>
              <w:spacing w:after="0" w:line="276" w:lineRule="auto"/>
              <w:ind w:firstLine="0"/>
              <w:jc w:val="left"/>
              <w:rPr>
                <w:highlight w:val="none"/>
              </w:rPr>
            </w:pPr>
            <w:r>
              <w:rPr>
                <w:rFonts w:hint="eastAsia"/>
                <w:b w:val="0"/>
                <w:sz w:val="21"/>
                <w:highlight w:val="none"/>
                <w:lang w:eastAsia="zh-CN"/>
              </w:rPr>
              <w:t>统一样式，</w:t>
            </w:r>
            <w:r>
              <w:rPr>
                <w:rFonts w:ascii="Times New Roman" w:hAnsi="Times New Roman" w:eastAsia="宋体"/>
                <w:b w:val="0"/>
                <w:sz w:val="21"/>
                <w:highlight w:val="none"/>
              </w:rPr>
              <w:t>上下铺双层床，床架采用优质</w:t>
            </w:r>
            <w:r>
              <w:rPr>
                <w:rFonts w:hint="eastAsia"/>
                <w:b w:val="0"/>
                <w:sz w:val="21"/>
                <w:highlight w:val="none"/>
                <w:lang w:eastAsia="zh-CN"/>
              </w:rPr>
              <w:t>金属管</w:t>
            </w:r>
            <w:r>
              <w:rPr>
                <w:rFonts w:ascii="Times New Roman" w:hAnsi="Times New Roman" w:eastAsia="宋体"/>
                <w:b w:val="0"/>
                <w:sz w:val="21"/>
                <w:highlight w:val="none"/>
              </w:rPr>
              <w:t>焊接成型，表面喷塑处理</w:t>
            </w:r>
            <w:r>
              <w:rPr>
                <w:rFonts w:hint="eastAsia"/>
                <w:b w:val="0"/>
                <w:sz w:val="21"/>
                <w:highlight w:val="none"/>
                <w:lang w:eastAsia="zh-CN"/>
              </w:rPr>
              <w:t>，二手需九成新以上</w:t>
            </w:r>
            <w:r>
              <w:rPr>
                <w:rFonts w:ascii="Times New Roman" w:hAnsi="Times New Roman" w:eastAsia="宋体"/>
                <w:b w:val="0"/>
                <w:sz w:val="21"/>
                <w:highlight w:val="none"/>
              </w:rPr>
              <w:t>；</w:t>
            </w:r>
            <w:r>
              <w:rPr>
                <w:rFonts w:ascii="Times New Roman" w:hAnsi="Times New Roman" w:eastAsia="宋体"/>
                <w:b w:val="0"/>
                <w:sz w:val="21"/>
                <w:highlight w:val="none"/>
              </w:rPr>
              <w:br w:type="textWrapping"/>
            </w:r>
            <w:r>
              <w:rPr>
                <w:rFonts w:ascii="Times New Roman" w:hAnsi="Times New Roman" w:eastAsia="宋体"/>
                <w:b w:val="0"/>
                <w:sz w:val="21"/>
                <w:highlight w:val="none"/>
              </w:rPr>
              <w:t>床体尺寸：</w:t>
            </w:r>
            <w:r>
              <w:rPr>
                <w:rFonts w:hint="eastAsia"/>
                <w:b w:val="0"/>
                <w:sz w:val="21"/>
                <w:highlight w:val="none"/>
                <w:lang w:eastAsia="zh-CN"/>
              </w:rPr>
              <w:t>不低于</w:t>
            </w:r>
            <w:r>
              <w:rPr>
                <w:rFonts w:ascii="Times New Roman" w:hAnsi="Times New Roman" w:eastAsia="宋体"/>
                <w:b w:val="0"/>
                <w:sz w:val="21"/>
                <w:highlight w:val="none"/>
              </w:rPr>
              <w:t>长2000mm×宽900mm×高1</w:t>
            </w:r>
            <w:r>
              <w:rPr>
                <w:rFonts w:hint="eastAsia"/>
                <w:b w:val="0"/>
                <w:sz w:val="21"/>
                <w:highlight w:val="none"/>
                <w:lang w:val="en-US" w:eastAsia="zh-CN"/>
              </w:rPr>
              <w:t>750</w:t>
            </w:r>
            <w:r>
              <w:rPr>
                <w:rFonts w:ascii="Times New Roman" w:hAnsi="Times New Roman" w:eastAsia="宋体"/>
                <w:b w:val="0"/>
                <w:sz w:val="21"/>
                <w:highlight w:val="none"/>
              </w:rPr>
              <w:t>mm，上下层间距≥</w:t>
            </w:r>
            <w:r>
              <w:rPr>
                <w:rFonts w:hint="eastAsia"/>
                <w:b w:val="0"/>
                <w:sz w:val="21"/>
                <w:highlight w:val="none"/>
                <w:lang w:val="en-US" w:eastAsia="zh-CN"/>
              </w:rPr>
              <w:t>1000</w:t>
            </w:r>
            <w:r>
              <w:rPr>
                <w:rFonts w:ascii="Times New Roman" w:hAnsi="Times New Roman" w:eastAsia="宋体"/>
                <w:b w:val="0"/>
                <w:sz w:val="21"/>
                <w:highlight w:val="none"/>
              </w:rPr>
              <w:t>mm；</w:t>
            </w:r>
            <w:r>
              <w:rPr>
                <w:rFonts w:ascii="Times New Roman" w:hAnsi="Times New Roman" w:eastAsia="宋体"/>
                <w:b w:val="0"/>
                <w:sz w:val="21"/>
                <w:highlight w:val="none"/>
              </w:rPr>
              <w:br w:type="textWrapping"/>
            </w:r>
            <w:r>
              <w:rPr>
                <w:rFonts w:ascii="Times New Roman" w:hAnsi="Times New Roman" w:eastAsia="宋体"/>
                <w:b w:val="0"/>
                <w:sz w:val="21"/>
                <w:highlight w:val="none"/>
              </w:rPr>
              <w:t>带爬梯和安全护栏，结构牢固、无明显变形、无尖锐毛刺。</w:t>
            </w:r>
          </w:p>
        </w:tc>
        <w:tc>
          <w:tcPr>
            <w:tcW w:w="720" w:type="dxa"/>
            <w:vAlign w:val="center"/>
          </w:tcPr>
          <w:p w14:paraId="63EF7BA8">
            <w:pPr>
              <w:spacing w:after="0" w:line="276" w:lineRule="auto"/>
              <w:ind w:firstLine="0"/>
              <w:jc w:val="left"/>
            </w:pPr>
            <w:r>
              <w:rPr>
                <w:rFonts w:ascii="Times New Roman" w:hAnsi="Times New Roman" w:eastAsia="宋体"/>
                <w:b w:val="0"/>
                <w:sz w:val="21"/>
              </w:rPr>
              <w:t>张</w:t>
            </w:r>
          </w:p>
        </w:tc>
        <w:tc>
          <w:tcPr>
            <w:tcW w:w="1080" w:type="dxa"/>
            <w:vAlign w:val="center"/>
          </w:tcPr>
          <w:p w14:paraId="302A0EA8">
            <w:pPr>
              <w:spacing w:after="0" w:line="276" w:lineRule="auto"/>
              <w:ind w:firstLine="0"/>
              <w:jc w:val="left"/>
            </w:pPr>
            <w:r>
              <w:rPr>
                <w:rFonts w:ascii="Times New Roman" w:hAnsi="Times New Roman" w:eastAsia="宋体"/>
                <w:b w:val="0"/>
                <w:sz w:val="21"/>
              </w:rPr>
              <w:t>2</w:t>
            </w:r>
          </w:p>
        </w:tc>
        <w:tc>
          <w:tcPr>
            <w:tcW w:w="680" w:type="dxa"/>
            <w:vAlign w:val="center"/>
          </w:tcPr>
          <w:p w14:paraId="35D3B6A8">
            <w:pPr>
              <w:spacing w:after="0" w:line="276" w:lineRule="auto"/>
              <w:ind w:firstLine="0"/>
              <w:jc w:val="left"/>
              <w:rPr>
                <w:rFonts w:hint="eastAsia" w:eastAsia="宋体"/>
                <w:lang w:eastAsia="zh-CN"/>
              </w:rPr>
            </w:pPr>
            <w:r>
              <w:rPr>
                <w:rFonts w:ascii="Times New Roman" w:hAnsi="Times New Roman" w:eastAsia="宋体"/>
                <w:b w:val="0"/>
                <w:sz w:val="21"/>
              </w:rPr>
              <w:t>可二手</w:t>
            </w:r>
            <w:r>
              <w:rPr>
                <w:rFonts w:hint="eastAsia"/>
                <w:b w:val="0"/>
                <w:sz w:val="21"/>
                <w:lang w:eastAsia="zh-CN"/>
              </w:rPr>
              <w:t>，二手需九成新以上</w:t>
            </w:r>
          </w:p>
        </w:tc>
      </w:tr>
      <w:tr w14:paraId="09944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vAlign w:val="center"/>
          </w:tcPr>
          <w:p w14:paraId="0B6C7172">
            <w:pPr>
              <w:spacing w:after="0" w:line="276" w:lineRule="auto"/>
              <w:ind w:firstLine="0"/>
              <w:jc w:val="center"/>
              <w:rPr>
                <w:highlight w:val="none"/>
              </w:rPr>
            </w:pPr>
            <w:r>
              <w:rPr>
                <w:rFonts w:ascii="Times New Roman" w:hAnsi="Times New Roman" w:eastAsia="宋体"/>
                <w:b w:val="0"/>
                <w:sz w:val="21"/>
                <w:highlight w:val="none"/>
              </w:rPr>
              <w:t>2</w:t>
            </w:r>
          </w:p>
        </w:tc>
        <w:tc>
          <w:tcPr>
            <w:tcW w:w="1196" w:type="dxa"/>
            <w:vAlign w:val="center"/>
          </w:tcPr>
          <w:p w14:paraId="7A23313E">
            <w:pPr>
              <w:spacing w:after="0" w:line="276" w:lineRule="auto"/>
              <w:ind w:firstLine="0"/>
              <w:jc w:val="left"/>
              <w:rPr>
                <w:highlight w:val="none"/>
              </w:rPr>
            </w:pPr>
            <w:r>
              <w:rPr>
                <w:rFonts w:ascii="Times New Roman" w:hAnsi="Times New Roman" w:eastAsia="宋体"/>
                <w:b w:val="0"/>
                <w:sz w:val="21"/>
                <w:highlight w:val="none"/>
              </w:rPr>
              <w:t>储物柜</w:t>
            </w:r>
          </w:p>
        </w:tc>
        <w:tc>
          <w:tcPr>
            <w:tcW w:w="3480" w:type="dxa"/>
            <w:vAlign w:val="center"/>
          </w:tcPr>
          <w:p w14:paraId="7669D7AF">
            <w:pPr>
              <w:spacing w:after="0" w:line="276" w:lineRule="auto"/>
              <w:ind w:firstLine="0"/>
              <w:jc w:val="left"/>
              <w:rPr>
                <w:highlight w:val="none"/>
              </w:rPr>
            </w:pPr>
            <w:r>
              <w:rPr>
                <w:rFonts w:hint="eastAsia"/>
                <w:b w:val="0"/>
                <w:sz w:val="21"/>
                <w:highlight w:val="none"/>
                <w:lang w:eastAsia="zh-CN"/>
              </w:rPr>
              <w:t>统一样式，</w:t>
            </w:r>
            <w:r>
              <w:rPr>
                <w:rFonts w:ascii="Times New Roman" w:hAnsi="Times New Roman" w:eastAsia="宋体"/>
                <w:b w:val="0"/>
                <w:sz w:val="21"/>
                <w:highlight w:val="none"/>
              </w:rPr>
              <w:t>对开门</w:t>
            </w:r>
            <w:r>
              <w:rPr>
                <w:rFonts w:hint="eastAsia"/>
                <w:b w:val="0"/>
                <w:sz w:val="21"/>
                <w:highlight w:val="none"/>
                <w:lang w:eastAsia="zh-CN"/>
              </w:rPr>
              <w:t>储物</w:t>
            </w:r>
            <w:r>
              <w:rPr>
                <w:rFonts w:ascii="Times New Roman" w:hAnsi="Times New Roman" w:eastAsia="宋体"/>
                <w:b w:val="0"/>
                <w:sz w:val="21"/>
                <w:highlight w:val="none"/>
              </w:rPr>
              <w:t>柜，采用</w:t>
            </w:r>
            <w:r>
              <w:rPr>
                <w:rFonts w:hint="eastAsia"/>
                <w:b w:val="0"/>
                <w:sz w:val="21"/>
                <w:highlight w:val="none"/>
                <w:lang w:eastAsia="zh-CN"/>
              </w:rPr>
              <w:t>金属柜</w:t>
            </w:r>
            <w:r>
              <w:rPr>
                <w:rFonts w:ascii="Times New Roman" w:hAnsi="Times New Roman" w:eastAsia="宋体"/>
                <w:b w:val="0"/>
                <w:sz w:val="21"/>
                <w:highlight w:val="none"/>
              </w:rPr>
              <w:t>，表面环保喷塑；</w:t>
            </w:r>
            <w:r>
              <w:rPr>
                <w:rFonts w:ascii="Times New Roman" w:hAnsi="Times New Roman" w:eastAsia="宋体"/>
                <w:b w:val="0"/>
                <w:sz w:val="21"/>
                <w:highlight w:val="none"/>
              </w:rPr>
              <w:br w:type="textWrapping"/>
            </w:r>
            <w:r>
              <w:rPr>
                <w:rFonts w:ascii="Times New Roman" w:hAnsi="Times New Roman" w:eastAsia="宋体"/>
                <w:b w:val="0"/>
                <w:sz w:val="21"/>
                <w:highlight w:val="none"/>
              </w:rPr>
              <w:t>尺寸：高1800mm×宽</w:t>
            </w:r>
            <w:r>
              <w:rPr>
                <w:rFonts w:hint="eastAsia"/>
                <w:b w:val="0"/>
                <w:sz w:val="21"/>
                <w:highlight w:val="none"/>
                <w:lang w:val="en-US" w:eastAsia="zh-CN"/>
              </w:rPr>
              <w:t>10</w:t>
            </w:r>
            <w:r>
              <w:rPr>
                <w:rFonts w:ascii="Times New Roman" w:hAnsi="Times New Roman" w:eastAsia="宋体"/>
                <w:b w:val="0"/>
                <w:sz w:val="21"/>
                <w:highlight w:val="none"/>
              </w:rPr>
              <w:t>00mm×深500mm；内设层板</w:t>
            </w:r>
            <w:r>
              <w:rPr>
                <w:rFonts w:hint="eastAsia"/>
                <w:b w:val="0"/>
                <w:sz w:val="21"/>
                <w:highlight w:val="none"/>
                <w:lang w:eastAsia="zh-CN"/>
              </w:rPr>
              <w:t>隔离为</w:t>
            </w:r>
            <w:r>
              <w:rPr>
                <w:rFonts w:hint="eastAsia"/>
                <w:b w:val="0"/>
                <w:sz w:val="21"/>
                <w:highlight w:val="none"/>
                <w:lang w:val="en-US" w:eastAsia="zh-CN"/>
              </w:rPr>
              <w:t>4扇门，</w:t>
            </w:r>
            <w:r>
              <w:rPr>
                <w:rFonts w:ascii="Times New Roman" w:hAnsi="Times New Roman" w:eastAsia="宋体"/>
                <w:b w:val="0"/>
                <w:sz w:val="21"/>
                <w:highlight w:val="none"/>
              </w:rPr>
              <w:t>每门配独立门锁。</w:t>
            </w:r>
          </w:p>
        </w:tc>
        <w:tc>
          <w:tcPr>
            <w:tcW w:w="720" w:type="dxa"/>
            <w:vAlign w:val="center"/>
          </w:tcPr>
          <w:p w14:paraId="4DE035B8">
            <w:pPr>
              <w:spacing w:after="0" w:line="276" w:lineRule="auto"/>
              <w:ind w:firstLine="0"/>
              <w:jc w:val="left"/>
            </w:pPr>
            <w:r>
              <w:rPr>
                <w:rFonts w:ascii="Times New Roman" w:hAnsi="Times New Roman" w:eastAsia="宋体"/>
                <w:b w:val="0"/>
                <w:sz w:val="21"/>
              </w:rPr>
              <w:t>个</w:t>
            </w:r>
          </w:p>
        </w:tc>
        <w:tc>
          <w:tcPr>
            <w:tcW w:w="1080" w:type="dxa"/>
            <w:vAlign w:val="center"/>
          </w:tcPr>
          <w:p w14:paraId="63E8CC51">
            <w:pPr>
              <w:spacing w:after="0" w:line="276" w:lineRule="auto"/>
              <w:ind w:firstLine="0"/>
              <w:jc w:val="left"/>
              <w:rPr>
                <w:rFonts w:hint="eastAsia" w:eastAsia="宋体"/>
                <w:highlight w:val="none"/>
                <w:lang w:eastAsia="zh-CN"/>
              </w:rPr>
            </w:pPr>
            <w:r>
              <w:rPr>
                <w:rFonts w:hint="eastAsia"/>
                <w:b w:val="0"/>
                <w:sz w:val="21"/>
                <w:highlight w:val="none"/>
                <w:lang w:val="en-US" w:eastAsia="zh-CN"/>
              </w:rPr>
              <w:t>1</w:t>
            </w:r>
          </w:p>
        </w:tc>
        <w:tc>
          <w:tcPr>
            <w:tcW w:w="680" w:type="dxa"/>
            <w:vAlign w:val="center"/>
          </w:tcPr>
          <w:p w14:paraId="76C9C4CF">
            <w:pPr>
              <w:spacing w:after="0" w:line="276" w:lineRule="auto"/>
              <w:ind w:firstLine="0"/>
              <w:jc w:val="left"/>
              <w:rPr>
                <w:highlight w:val="none"/>
              </w:rPr>
            </w:pPr>
            <w:r>
              <w:rPr>
                <w:rFonts w:ascii="Times New Roman" w:hAnsi="Times New Roman" w:eastAsia="宋体"/>
                <w:b w:val="0"/>
                <w:sz w:val="21"/>
                <w:highlight w:val="none"/>
              </w:rPr>
              <w:t>全新</w:t>
            </w:r>
          </w:p>
        </w:tc>
      </w:tr>
      <w:tr w14:paraId="1522E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vAlign w:val="center"/>
          </w:tcPr>
          <w:p w14:paraId="46D0BEC2">
            <w:pPr>
              <w:spacing w:after="0" w:line="276" w:lineRule="auto"/>
              <w:ind w:firstLine="0"/>
              <w:jc w:val="center"/>
              <w:rPr>
                <w:highlight w:val="none"/>
              </w:rPr>
            </w:pPr>
            <w:r>
              <w:rPr>
                <w:rFonts w:ascii="Times New Roman" w:hAnsi="Times New Roman" w:eastAsia="宋体"/>
                <w:b w:val="0"/>
                <w:sz w:val="21"/>
                <w:highlight w:val="none"/>
              </w:rPr>
              <w:t>3</w:t>
            </w:r>
          </w:p>
        </w:tc>
        <w:tc>
          <w:tcPr>
            <w:tcW w:w="1196" w:type="dxa"/>
            <w:vAlign w:val="center"/>
          </w:tcPr>
          <w:p w14:paraId="34EF8920">
            <w:pPr>
              <w:spacing w:after="0" w:line="276" w:lineRule="auto"/>
              <w:ind w:firstLine="0"/>
              <w:jc w:val="left"/>
              <w:rPr>
                <w:highlight w:val="none"/>
              </w:rPr>
            </w:pPr>
            <w:r>
              <w:rPr>
                <w:rFonts w:ascii="Times New Roman" w:hAnsi="Times New Roman" w:eastAsia="宋体"/>
                <w:b w:val="0"/>
                <w:sz w:val="21"/>
                <w:highlight w:val="none"/>
              </w:rPr>
              <w:t>空调</w:t>
            </w:r>
          </w:p>
        </w:tc>
        <w:tc>
          <w:tcPr>
            <w:tcW w:w="3480" w:type="dxa"/>
            <w:vAlign w:val="center"/>
          </w:tcPr>
          <w:p w14:paraId="420A990B">
            <w:pPr>
              <w:spacing w:after="0" w:line="276" w:lineRule="auto"/>
              <w:ind w:firstLine="0"/>
              <w:jc w:val="left"/>
              <w:rPr>
                <w:highlight w:val="none"/>
              </w:rPr>
            </w:pPr>
            <w:r>
              <w:rPr>
                <w:rFonts w:hint="eastAsia"/>
                <w:b w:val="0"/>
                <w:sz w:val="21"/>
                <w:highlight w:val="none"/>
                <w:lang w:eastAsia="zh-CN"/>
              </w:rPr>
              <w:t>统一样式，</w:t>
            </w:r>
            <w:r>
              <w:rPr>
                <w:rFonts w:ascii="Times New Roman" w:hAnsi="Times New Roman" w:eastAsia="宋体"/>
                <w:b w:val="0"/>
                <w:sz w:val="21"/>
                <w:highlight w:val="none"/>
              </w:rPr>
              <w:t>1.5匹壁挂式冷暖空调，能效不低于三级；</w:t>
            </w:r>
            <w:r>
              <w:rPr>
                <w:rFonts w:ascii="Times New Roman" w:hAnsi="Times New Roman" w:eastAsia="宋体"/>
                <w:b w:val="0"/>
                <w:sz w:val="21"/>
                <w:highlight w:val="none"/>
              </w:rPr>
              <w:br w:type="textWrapping"/>
            </w:r>
            <w:r>
              <w:rPr>
                <w:rFonts w:ascii="Times New Roman" w:hAnsi="Times New Roman" w:eastAsia="宋体"/>
                <w:b w:val="0"/>
                <w:sz w:val="21"/>
                <w:highlight w:val="none"/>
              </w:rPr>
              <w:t>制冷量≥3500W；含室内机、室外机、遥控器及标配管线；</w:t>
            </w:r>
            <w:r>
              <w:rPr>
                <w:rFonts w:ascii="Times New Roman" w:hAnsi="Times New Roman" w:eastAsia="宋体"/>
                <w:b w:val="0"/>
                <w:sz w:val="21"/>
                <w:highlight w:val="none"/>
              </w:rPr>
              <w:br w:type="textWrapping"/>
            </w:r>
            <w:r>
              <w:rPr>
                <w:rFonts w:ascii="Times New Roman" w:hAnsi="Times New Roman" w:eastAsia="宋体"/>
                <w:b w:val="0"/>
                <w:sz w:val="21"/>
                <w:highlight w:val="none"/>
              </w:rPr>
              <w:t>负责安装、支架、打孔及调试，执行国家三包及厂家保修政策。</w:t>
            </w:r>
          </w:p>
        </w:tc>
        <w:tc>
          <w:tcPr>
            <w:tcW w:w="720" w:type="dxa"/>
            <w:vAlign w:val="center"/>
          </w:tcPr>
          <w:p w14:paraId="5BDB525E">
            <w:pPr>
              <w:spacing w:after="0" w:line="276" w:lineRule="auto"/>
              <w:ind w:firstLine="0"/>
              <w:jc w:val="left"/>
            </w:pPr>
            <w:r>
              <w:rPr>
                <w:rFonts w:ascii="Times New Roman" w:hAnsi="Times New Roman" w:eastAsia="宋体"/>
                <w:b w:val="0"/>
                <w:sz w:val="21"/>
              </w:rPr>
              <w:t>台</w:t>
            </w:r>
          </w:p>
        </w:tc>
        <w:tc>
          <w:tcPr>
            <w:tcW w:w="1080" w:type="dxa"/>
            <w:vAlign w:val="center"/>
          </w:tcPr>
          <w:p w14:paraId="1154E09F">
            <w:pPr>
              <w:spacing w:after="0" w:line="276" w:lineRule="auto"/>
              <w:ind w:firstLine="0"/>
              <w:jc w:val="left"/>
            </w:pPr>
            <w:r>
              <w:rPr>
                <w:rFonts w:ascii="Times New Roman" w:hAnsi="Times New Roman" w:eastAsia="宋体"/>
                <w:b w:val="0"/>
                <w:sz w:val="21"/>
              </w:rPr>
              <w:t>1</w:t>
            </w:r>
          </w:p>
        </w:tc>
        <w:tc>
          <w:tcPr>
            <w:tcW w:w="680" w:type="dxa"/>
            <w:vAlign w:val="center"/>
          </w:tcPr>
          <w:p w14:paraId="3808C281">
            <w:pPr>
              <w:spacing w:after="0" w:line="276" w:lineRule="auto"/>
              <w:ind w:firstLine="0"/>
              <w:jc w:val="left"/>
            </w:pPr>
            <w:r>
              <w:rPr>
                <w:rFonts w:ascii="Times New Roman" w:hAnsi="Times New Roman" w:eastAsia="宋体"/>
                <w:b w:val="0"/>
                <w:sz w:val="21"/>
              </w:rPr>
              <w:t>全新</w:t>
            </w:r>
          </w:p>
        </w:tc>
      </w:tr>
      <w:tr w14:paraId="0BD2A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vAlign w:val="center"/>
          </w:tcPr>
          <w:p w14:paraId="7011EBD3">
            <w:pPr>
              <w:spacing w:after="0" w:line="276" w:lineRule="auto"/>
              <w:ind w:firstLine="0"/>
              <w:jc w:val="center"/>
              <w:rPr>
                <w:highlight w:val="none"/>
              </w:rPr>
            </w:pPr>
            <w:r>
              <w:rPr>
                <w:rFonts w:ascii="Times New Roman" w:hAnsi="Times New Roman" w:eastAsia="宋体"/>
                <w:b w:val="0"/>
                <w:sz w:val="21"/>
                <w:highlight w:val="none"/>
              </w:rPr>
              <w:t>4</w:t>
            </w:r>
          </w:p>
        </w:tc>
        <w:tc>
          <w:tcPr>
            <w:tcW w:w="1196" w:type="dxa"/>
            <w:vAlign w:val="center"/>
          </w:tcPr>
          <w:p w14:paraId="1A04801B">
            <w:pPr>
              <w:spacing w:after="0" w:line="276" w:lineRule="auto"/>
              <w:ind w:firstLine="0"/>
              <w:jc w:val="left"/>
              <w:rPr>
                <w:highlight w:val="none"/>
              </w:rPr>
            </w:pPr>
            <w:r>
              <w:rPr>
                <w:rFonts w:ascii="Times New Roman" w:hAnsi="Times New Roman" w:eastAsia="宋体"/>
                <w:b w:val="0"/>
                <w:sz w:val="21"/>
                <w:highlight w:val="none"/>
              </w:rPr>
              <w:t>窗帘</w:t>
            </w:r>
          </w:p>
        </w:tc>
        <w:tc>
          <w:tcPr>
            <w:tcW w:w="3480" w:type="dxa"/>
            <w:vAlign w:val="center"/>
          </w:tcPr>
          <w:p w14:paraId="2D6FC8C1">
            <w:pPr>
              <w:spacing w:after="0" w:line="276" w:lineRule="auto"/>
              <w:ind w:firstLine="0"/>
              <w:jc w:val="left"/>
              <w:rPr>
                <w:highlight w:val="none"/>
              </w:rPr>
            </w:pPr>
            <w:r>
              <w:rPr>
                <w:rFonts w:hint="eastAsia"/>
                <w:b w:val="0"/>
                <w:sz w:val="21"/>
                <w:highlight w:val="none"/>
                <w:lang w:eastAsia="zh-CN"/>
              </w:rPr>
              <w:t>统一样式，</w:t>
            </w:r>
            <w:r>
              <w:rPr>
                <w:rFonts w:ascii="Times New Roman" w:hAnsi="Times New Roman" w:eastAsia="宋体"/>
                <w:b w:val="0"/>
                <w:sz w:val="21"/>
                <w:highlight w:val="none"/>
              </w:rPr>
              <w:t>遮光布艺窗帘，遮光率≥85%；含轨道及安装；颜色由</w:t>
            </w:r>
            <w:r>
              <w:rPr>
                <w:rFonts w:hint="eastAsia"/>
                <w:b w:val="0"/>
                <w:sz w:val="21"/>
                <w:highlight w:val="none"/>
                <w:lang w:eastAsia="zh-CN"/>
              </w:rPr>
              <w:t>采购方</w:t>
            </w:r>
            <w:r>
              <w:rPr>
                <w:rFonts w:ascii="Times New Roman" w:hAnsi="Times New Roman" w:eastAsia="宋体"/>
                <w:b w:val="0"/>
                <w:sz w:val="21"/>
                <w:highlight w:val="none"/>
              </w:rPr>
              <w:t>指定，按窗户实际尺寸定制。</w:t>
            </w:r>
          </w:p>
        </w:tc>
        <w:tc>
          <w:tcPr>
            <w:tcW w:w="720" w:type="dxa"/>
            <w:vAlign w:val="center"/>
          </w:tcPr>
          <w:p w14:paraId="4AC76197">
            <w:pPr>
              <w:spacing w:after="0" w:line="276" w:lineRule="auto"/>
              <w:ind w:firstLine="0"/>
              <w:jc w:val="left"/>
            </w:pPr>
            <w:r>
              <w:rPr>
                <w:rFonts w:ascii="Times New Roman" w:hAnsi="Times New Roman" w:eastAsia="宋体"/>
                <w:b w:val="0"/>
                <w:sz w:val="21"/>
              </w:rPr>
              <w:t>套</w:t>
            </w:r>
          </w:p>
        </w:tc>
        <w:tc>
          <w:tcPr>
            <w:tcW w:w="1080" w:type="dxa"/>
            <w:vAlign w:val="center"/>
          </w:tcPr>
          <w:p w14:paraId="4CC7E219">
            <w:pPr>
              <w:spacing w:after="0" w:line="276" w:lineRule="auto"/>
              <w:ind w:firstLine="0"/>
              <w:jc w:val="left"/>
            </w:pPr>
            <w:r>
              <w:rPr>
                <w:rFonts w:ascii="Times New Roman" w:hAnsi="Times New Roman" w:eastAsia="宋体"/>
                <w:b w:val="0"/>
                <w:sz w:val="21"/>
              </w:rPr>
              <w:t>1</w:t>
            </w:r>
          </w:p>
        </w:tc>
        <w:tc>
          <w:tcPr>
            <w:tcW w:w="680" w:type="dxa"/>
            <w:vAlign w:val="center"/>
          </w:tcPr>
          <w:p w14:paraId="5510E93D">
            <w:pPr>
              <w:spacing w:after="0" w:line="276" w:lineRule="auto"/>
              <w:ind w:firstLine="0"/>
              <w:jc w:val="left"/>
            </w:pPr>
            <w:r>
              <w:rPr>
                <w:rFonts w:ascii="Times New Roman" w:hAnsi="Times New Roman" w:eastAsia="宋体"/>
                <w:b w:val="0"/>
                <w:sz w:val="21"/>
              </w:rPr>
              <w:t>全新</w:t>
            </w:r>
          </w:p>
        </w:tc>
      </w:tr>
    </w:tbl>
    <w:p w14:paraId="56D9DC84">
      <w:pPr>
        <w:spacing w:before="240" w:after="120" w:line="360" w:lineRule="auto"/>
        <w:ind w:firstLine="0"/>
      </w:pPr>
      <w:r>
        <w:rPr>
          <w:rFonts w:ascii="Times New Roman" w:hAnsi="Times New Roman" w:eastAsia="黑体"/>
          <w:b/>
          <w:sz w:val="28"/>
        </w:rPr>
        <w:t>三、服务要求</w:t>
      </w:r>
    </w:p>
    <w:p w14:paraId="7D16669B">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 供货安装：</w:t>
      </w:r>
      <w:r>
        <w:rPr>
          <w:rFonts w:hint="eastAsia" w:ascii="仿宋_GB2312" w:hAnsi="仿宋_GB2312" w:eastAsia="仿宋_GB2312" w:cs="仿宋_GB2312"/>
          <w:sz w:val="28"/>
          <w:szCs w:val="28"/>
          <w:lang w:eastAsia="zh-CN"/>
        </w:rPr>
        <w:t>每个批次下达配置需求后 1</w:t>
      </w:r>
      <w:r>
        <w:rPr>
          <w:rFonts w:hint="eastAsia" w:ascii="仿宋_GB2312" w:hAnsi="仿宋_GB2312" w:eastAsia="仿宋_GB2312" w:cs="仿宋_GB2312"/>
          <w:sz w:val="28"/>
          <w:szCs w:val="28"/>
          <w:lang w:val="en-US" w:eastAsia="zh-CN"/>
        </w:rPr>
        <w:t>2</w:t>
      </w:r>
      <w:r>
        <w:rPr>
          <w:rFonts w:hint="eastAsia" w:ascii="仿宋_GB2312" w:hAnsi="仿宋_GB2312" w:eastAsia="仿宋_GB2312" w:cs="仿宋_GB2312"/>
          <w:sz w:val="28"/>
          <w:szCs w:val="28"/>
          <w:lang w:eastAsia="zh-CN"/>
        </w:rPr>
        <w:t xml:space="preserve"> 日内，</w:t>
      </w:r>
      <w:r>
        <w:rPr>
          <w:rFonts w:hint="eastAsia" w:ascii="仿宋_GB2312" w:hAnsi="仿宋_GB2312" w:eastAsia="仿宋_GB2312" w:cs="仿宋_GB2312"/>
          <w:sz w:val="28"/>
          <w:szCs w:val="28"/>
        </w:rPr>
        <w:t>中标人须将全部家具运抵现场并完成安装调试，经</w:t>
      </w:r>
      <w:r>
        <w:rPr>
          <w:rFonts w:hint="eastAsia" w:ascii="仿宋_GB2312" w:hAnsi="仿宋_GB2312" w:eastAsia="仿宋_GB2312" w:cs="仿宋_GB2312"/>
          <w:sz w:val="28"/>
          <w:szCs w:val="28"/>
          <w:lang w:eastAsia="zh-CN"/>
        </w:rPr>
        <w:t>采购方</w:t>
      </w:r>
      <w:r>
        <w:rPr>
          <w:rFonts w:hint="eastAsia" w:ascii="仿宋_GB2312" w:hAnsi="仿宋_GB2312" w:eastAsia="仿宋_GB2312" w:cs="仿宋_GB2312"/>
          <w:sz w:val="28"/>
          <w:szCs w:val="28"/>
        </w:rPr>
        <w:t>验收合格后交付使用。</w:t>
      </w:r>
    </w:p>
    <w:p w14:paraId="12223499">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 质量保证：储物柜、空调、窗帘须为全新正品，符合国家现行相关质量标准；高低床可使用二手产品，但须结构安全、无变形损坏、无尖锐毛刺。</w:t>
      </w:r>
    </w:p>
    <w:p w14:paraId="72A322A5">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 维修保养：</w:t>
      </w:r>
      <w:r>
        <w:rPr>
          <w:rFonts w:hint="eastAsia" w:ascii="仿宋_GB2312" w:hAnsi="仿宋_GB2312" w:eastAsia="仿宋_GB2312" w:cs="仿宋_GB2312"/>
          <w:sz w:val="28"/>
          <w:szCs w:val="28"/>
          <w:lang w:val="en-US" w:eastAsia="zh-CN"/>
        </w:rPr>
        <w:t>2年</w:t>
      </w:r>
      <w:r>
        <w:rPr>
          <w:rFonts w:hint="eastAsia" w:ascii="仿宋_GB2312" w:hAnsi="仿宋_GB2312" w:eastAsia="仿宋_GB2312" w:cs="仿宋_GB2312"/>
          <w:sz w:val="28"/>
          <w:szCs w:val="28"/>
        </w:rPr>
        <w:t>租赁期内，中标人负责家具的日常维修和非人为损坏的更换；接到报修通知后24小时内响应，48小时内到场处理；一般故障3个工作日内修复。</w:t>
      </w:r>
    </w:p>
    <w:p w14:paraId="52EDFB84">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 人为损坏：因使用不当或人为造成的损坏，中标人可按成本价收取维修或更换费用。</w:t>
      </w:r>
    </w:p>
    <w:p w14:paraId="4D3977C0">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5. 到期处置：</w:t>
      </w:r>
      <w:r>
        <w:rPr>
          <w:rFonts w:hint="eastAsia" w:ascii="仿宋_GB2312" w:hAnsi="仿宋_GB2312" w:eastAsia="仿宋_GB2312" w:cs="仿宋_GB2312"/>
          <w:sz w:val="28"/>
          <w:szCs w:val="28"/>
          <w:lang w:val="en-US" w:eastAsia="zh-CN"/>
        </w:rPr>
        <w:t>2年</w:t>
      </w:r>
      <w:r>
        <w:rPr>
          <w:rFonts w:hint="eastAsia" w:ascii="仿宋_GB2312" w:hAnsi="仿宋_GB2312" w:eastAsia="仿宋_GB2312" w:cs="仿宋_GB2312"/>
          <w:sz w:val="28"/>
          <w:szCs w:val="28"/>
        </w:rPr>
        <w:t>租赁期满后，所有租赁物品就地留存于项目宿舍现场，</w:t>
      </w:r>
      <w:r>
        <w:rPr>
          <w:rFonts w:hint="eastAsia" w:ascii="仿宋_GB2312" w:hAnsi="仿宋_GB2312" w:eastAsia="仿宋_GB2312" w:cs="仿宋_GB2312"/>
          <w:sz w:val="28"/>
          <w:szCs w:val="28"/>
          <w:lang w:eastAsia="zh-CN"/>
        </w:rPr>
        <w:t>采购方</w:t>
      </w:r>
      <w:r>
        <w:rPr>
          <w:rFonts w:hint="eastAsia" w:ascii="仿宋_GB2312" w:hAnsi="仿宋_GB2312" w:eastAsia="仿宋_GB2312" w:cs="仿宋_GB2312"/>
          <w:sz w:val="28"/>
          <w:szCs w:val="28"/>
        </w:rPr>
        <w:t>无偿使用，中标人不得实施拆卸、搬离、回收、索要取回等任何行为</w:t>
      </w:r>
      <w:r>
        <w:rPr>
          <w:rFonts w:hint="eastAsia" w:ascii="仿宋_GB2312" w:hAnsi="仿宋_GB2312" w:eastAsia="仿宋_GB2312" w:cs="仿宋_GB2312"/>
          <w:sz w:val="28"/>
          <w:szCs w:val="28"/>
          <w:lang w:eastAsia="zh-CN"/>
        </w:rPr>
        <w:t>。</w:t>
      </w:r>
    </w:p>
    <w:p w14:paraId="1B4D786D">
      <w:pPr>
        <w:spacing w:before="240" w:after="120" w:line="360" w:lineRule="auto"/>
        <w:ind w:firstLine="0"/>
      </w:pPr>
      <w:r>
        <w:rPr>
          <w:rFonts w:ascii="Times New Roman" w:hAnsi="Times New Roman" w:eastAsia="黑体"/>
          <w:b/>
          <w:sz w:val="28"/>
        </w:rPr>
        <w:t>四、报价要求</w:t>
      </w:r>
    </w:p>
    <w:p w14:paraId="524FEC10">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 本项目采用单间</w:t>
      </w:r>
      <w:r>
        <w:rPr>
          <w:rFonts w:hint="eastAsia" w:ascii="仿宋_GB2312" w:hAnsi="仿宋_GB2312" w:eastAsia="仿宋_GB2312" w:cs="仿宋_GB2312"/>
          <w:sz w:val="28"/>
          <w:szCs w:val="28"/>
          <w:lang w:val="en-US" w:eastAsia="zh-CN"/>
        </w:rPr>
        <w:t>2年</w:t>
      </w:r>
      <w:r>
        <w:rPr>
          <w:rFonts w:hint="eastAsia" w:ascii="仿宋_GB2312" w:hAnsi="仿宋_GB2312" w:eastAsia="仿宋_GB2312" w:cs="仿宋_GB2312"/>
          <w:sz w:val="28"/>
          <w:szCs w:val="28"/>
        </w:rPr>
        <w:t>租金单价报价，报价为每间宿舍</w:t>
      </w:r>
      <w:r>
        <w:rPr>
          <w:rFonts w:hint="eastAsia" w:ascii="仿宋_GB2312" w:hAnsi="仿宋_GB2312" w:eastAsia="仿宋_GB2312" w:cs="仿宋_GB2312"/>
          <w:sz w:val="28"/>
          <w:szCs w:val="28"/>
          <w:lang w:val="en-US" w:eastAsia="zh-CN"/>
        </w:rPr>
        <w:t>2年</w:t>
      </w:r>
      <w:r>
        <w:rPr>
          <w:rFonts w:hint="eastAsia" w:ascii="仿宋_GB2312" w:hAnsi="仿宋_GB2312" w:eastAsia="仿宋_GB2312" w:cs="仿宋_GB2312"/>
          <w:sz w:val="28"/>
          <w:szCs w:val="28"/>
        </w:rPr>
        <w:t>租金（含增值税专用发票）。最终租金=单间</w:t>
      </w:r>
      <w:r>
        <w:rPr>
          <w:rFonts w:hint="eastAsia" w:ascii="仿宋_GB2312" w:hAnsi="仿宋_GB2312" w:eastAsia="仿宋_GB2312" w:cs="仿宋_GB2312"/>
          <w:sz w:val="28"/>
          <w:szCs w:val="28"/>
          <w:lang w:val="en-US" w:eastAsia="zh-CN"/>
        </w:rPr>
        <w:t>2年</w:t>
      </w:r>
      <w:r>
        <w:rPr>
          <w:rFonts w:hint="eastAsia" w:ascii="仿宋_GB2312" w:hAnsi="仿宋_GB2312" w:eastAsia="仿宋_GB2312" w:cs="仿宋_GB2312"/>
          <w:sz w:val="28"/>
          <w:szCs w:val="28"/>
        </w:rPr>
        <w:t>租金单价×实际配置间数。</w:t>
      </w:r>
    </w:p>
    <w:p w14:paraId="661B4A70">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 单间</w:t>
      </w:r>
      <w:r>
        <w:rPr>
          <w:rFonts w:hint="eastAsia" w:ascii="仿宋_GB2312" w:hAnsi="仿宋_GB2312" w:eastAsia="仿宋_GB2312" w:cs="仿宋_GB2312"/>
          <w:sz w:val="28"/>
          <w:szCs w:val="28"/>
          <w:lang w:val="en-US" w:eastAsia="zh-CN"/>
        </w:rPr>
        <w:t>2年</w:t>
      </w:r>
      <w:r>
        <w:rPr>
          <w:rFonts w:hint="eastAsia" w:ascii="仿宋_GB2312" w:hAnsi="仿宋_GB2312" w:eastAsia="仿宋_GB2312" w:cs="仿宋_GB2312"/>
          <w:sz w:val="28"/>
          <w:szCs w:val="28"/>
        </w:rPr>
        <w:t>租金报价不得超过</w:t>
      </w:r>
      <w:r>
        <w:rPr>
          <w:rFonts w:hint="eastAsia" w:ascii="仿宋_GB2312" w:hAnsi="仿宋_GB2312" w:eastAsia="仿宋_GB2312" w:cs="仿宋_GB2312"/>
          <w:sz w:val="28"/>
          <w:szCs w:val="28"/>
          <w:lang w:val="en-US" w:eastAsia="zh-CN"/>
        </w:rPr>
        <w:t>5000</w:t>
      </w:r>
      <w:r>
        <w:rPr>
          <w:rFonts w:hint="eastAsia" w:ascii="仿宋_GB2312" w:hAnsi="仿宋_GB2312" w:eastAsia="仿宋_GB2312" w:cs="仿宋_GB2312"/>
          <w:sz w:val="28"/>
          <w:szCs w:val="28"/>
        </w:rPr>
        <w:t>元/间，否则按无效</w:t>
      </w:r>
      <w:r>
        <w:rPr>
          <w:rFonts w:hint="eastAsia" w:ascii="仿宋_GB2312" w:hAnsi="仿宋_GB2312" w:eastAsia="仿宋_GB2312" w:cs="仿宋_GB2312"/>
          <w:sz w:val="28"/>
          <w:szCs w:val="28"/>
          <w:lang w:eastAsia="zh-CN"/>
        </w:rPr>
        <w:t>报价</w:t>
      </w:r>
      <w:r>
        <w:rPr>
          <w:rFonts w:hint="eastAsia" w:ascii="仿宋_GB2312" w:hAnsi="仿宋_GB2312" w:eastAsia="仿宋_GB2312" w:cs="仿宋_GB2312"/>
          <w:sz w:val="28"/>
          <w:szCs w:val="28"/>
        </w:rPr>
        <w:t>处理。</w:t>
      </w:r>
    </w:p>
    <w:p w14:paraId="06EADED0">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 报价应包含家具设备费、运输费、装卸费、安装调试费、维修费、保养费、保险费、税费及利润等一切费用。</w:t>
      </w:r>
    </w:p>
    <w:p w14:paraId="4BD3F7E4">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4. </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漏报项视为已包含在</w:t>
      </w:r>
      <w:r>
        <w:rPr>
          <w:rFonts w:hint="eastAsia" w:ascii="仿宋_GB2312" w:hAnsi="仿宋_GB2312" w:eastAsia="仿宋_GB2312" w:cs="仿宋_GB2312"/>
          <w:sz w:val="28"/>
          <w:szCs w:val="28"/>
          <w:lang w:eastAsia="zh-CN"/>
        </w:rPr>
        <w:t>报价</w:t>
      </w:r>
      <w:r>
        <w:rPr>
          <w:rFonts w:hint="eastAsia" w:ascii="仿宋_GB2312" w:hAnsi="仿宋_GB2312" w:eastAsia="仿宋_GB2312" w:cs="仿宋_GB2312"/>
          <w:sz w:val="28"/>
          <w:szCs w:val="28"/>
        </w:rPr>
        <w:t>中，</w:t>
      </w:r>
      <w:r>
        <w:rPr>
          <w:rFonts w:hint="eastAsia" w:ascii="仿宋_GB2312" w:hAnsi="仿宋_GB2312" w:eastAsia="仿宋_GB2312" w:cs="仿宋_GB2312"/>
          <w:sz w:val="28"/>
          <w:szCs w:val="28"/>
          <w:lang w:eastAsia="zh-CN"/>
        </w:rPr>
        <w:t>采购方</w:t>
      </w:r>
      <w:r>
        <w:rPr>
          <w:rFonts w:hint="eastAsia" w:ascii="仿宋_GB2312" w:hAnsi="仿宋_GB2312" w:eastAsia="仿宋_GB2312" w:cs="仿宋_GB2312"/>
          <w:sz w:val="28"/>
          <w:szCs w:val="28"/>
        </w:rPr>
        <w:t>不再另行支付。</w:t>
      </w:r>
    </w:p>
    <w:p w14:paraId="18E90E94">
      <w:r>
        <w:br w:type="page"/>
      </w:r>
    </w:p>
    <w:p w14:paraId="381ECD5F">
      <w:pPr>
        <w:spacing w:before="360" w:after="240" w:line="360" w:lineRule="auto"/>
        <w:ind w:firstLine="0"/>
        <w:jc w:val="center"/>
        <w:outlineLvl w:val="0"/>
        <w:rPr>
          <w:rFonts w:hint="eastAsia" w:eastAsia="黑体"/>
          <w:lang w:eastAsia="zh-CN"/>
        </w:rPr>
      </w:pPr>
      <w:bookmarkStart w:id="3" w:name="_Toc1747066378"/>
      <w:r>
        <w:rPr>
          <w:rFonts w:ascii="Times New Roman" w:hAnsi="Times New Roman" w:eastAsia="黑体"/>
          <w:b/>
          <w:sz w:val="32"/>
        </w:rPr>
        <w:t xml:space="preserve">第四章  </w:t>
      </w:r>
      <w:bookmarkEnd w:id="3"/>
      <w:r>
        <w:rPr>
          <w:rFonts w:hint="eastAsia" w:eastAsia="黑体"/>
          <w:b/>
          <w:sz w:val="32"/>
          <w:lang w:eastAsia="zh-CN"/>
        </w:rPr>
        <w:t>评审方法</w:t>
      </w:r>
    </w:p>
    <w:p w14:paraId="4D08EF42">
      <w:pPr>
        <w:spacing w:before="240" w:after="120" w:line="360" w:lineRule="auto"/>
        <w:ind w:firstLine="0"/>
      </w:pPr>
      <w:r>
        <w:rPr>
          <w:rFonts w:ascii="Times New Roman" w:hAnsi="Times New Roman" w:eastAsia="黑体"/>
          <w:b/>
          <w:sz w:val="28"/>
        </w:rPr>
        <w:t>一、评</w:t>
      </w:r>
      <w:r>
        <w:rPr>
          <w:rFonts w:hint="eastAsia" w:eastAsia="黑体"/>
          <w:b/>
          <w:sz w:val="28"/>
          <w:lang w:val="en-US" w:eastAsia="zh-CN"/>
        </w:rPr>
        <w:t>审</w:t>
      </w:r>
      <w:r>
        <w:rPr>
          <w:rFonts w:ascii="Times New Roman" w:hAnsi="Times New Roman" w:eastAsia="黑体"/>
          <w:b/>
          <w:sz w:val="28"/>
        </w:rPr>
        <w:t>方法</w:t>
      </w:r>
    </w:p>
    <w:p w14:paraId="02001D98">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本次评</w:t>
      </w:r>
      <w:r>
        <w:rPr>
          <w:rFonts w:hint="eastAsia" w:ascii="仿宋_GB2312" w:hAnsi="仿宋_GB2312" w:eastAsia="仿宋_GB2312" w:cs="仿宋_GB2312"/>
          <w:sz w:val="28"/>
          <w:szCs w:val="28"/>
          <w:lang w:val="en-US" w:eastAsia="zh-CN"/>
        </w:rPr>
        <w:t>审</w:t>
      </w:r>
      <w:r>
        <w:rPr>
          <w:rFonts w:hint="eastAsia" w:ascii="仿宋_GB2312" w:hAnsi="仿宋_GB2312" w:eastAsia="仿宋_GB2312" w:cs="仿宋_GB2312"/>
          <w:sz w:val="28"/>
          <w:szCs w:val="28"/>
        </w:rPr>
        <w:t>采用</w:t>
      </w:r>
      <w:r>
        <w:rPr>
          <w:rFonts w:hint="eastAsia" w:ascii="仿宋_GB2312" w:hAnsi="仿宋_GB2312" w:eastAsia="仿宋_GB2312" w:cs="仿宋_GB2312"/>
          <w:sz w:val="28"/>
          <w:szCs w:val="28"/>
          <w:lang w:eastAsia="zh-CN"/>
        </w:rPr>
        <w:t>最低评标价法</w:t>
      </w:r>
      <w:r>
        <w:rPr>
          <w:rFonts w:hint="eastAsia" w:ascii="仿宋_GB2312" w:hAnsi="仿宋_GB2312" w:eastAsia="仿宋_GB2312" w:cs="仿宋_GB2312"/>
          <w:sz w:val="28"/>
          <w:szCs w:val="28"/>
        </w:rPr>
        <w:t>。评标委员会对通过资格性、符合性评审的</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，按照</w:t>
      </w:r>
      <w:r>
        <w:rPr>
          <w:rFonts w:hint="eastAsia" w:ascii="仿宋_GB2312" w:hAnsi="仿宋_GB2312" w:eastAsia="仿宋_GB2312" w:cs="仿宋_GB2312"/>
          <w:sz w:val="28"/>
          <w:szCs w:val="28"/>
          <w:highlight w:val="none"/>
          <w:lang w:val="en-US" w:eastAsia="zh-CN"/>
        </w:rPr>
        <w:t>不含</w:t>
      </w:r>
      <w:r>
        <w:rPr>
          <w:rFonts w:hint="eastAsia" w:ascii="仿宋_GB2312" w:hAnsi="仿宋_GB2312" w:eastAsia="仿宋_GB2312" w:cs="仿宋_GB2312"/>
          <w:sz w:val="28"/>
          <w:szCs w:val="28"/>
          <w:highlight w:val="none"/>
          <w:lang w:eastAsia="zh-CN"/>
        </w:rPr>
        <w:t>税</w:t>
      </w:r>
      <w:r>
        <w:rPr>
          <w:rFonts w:hint="eastAsia" w:ascii="仿宋_GB2312" w:hAnsi="仿宋_GB2312" w:eastAsia="仿宋_GB2312" w:cs="仿宋_GB2312"/>
          <w:b/>
          <w:bCs/>
          <w:sz w:val="28"/>
          <w:szCs w:val="28"/>
          <w:highlight w:val="none"/>
          <w:lang w:eastAsia="zh-CN"/>
        </w:rPr>
        <w:t>单价</w:t>
      </w:r>
      <w:r>
        <w:rPr>
          <w:rFonts w:hint="eastAsia" w:ascii="仿宋_GB2312" w:hAnsi="仿宋_GB2312" w:eastAsia="仿宋_GB2312" w:cs="仿宋_GB2312"/>
          <w:sz w:val="28"/>
          <w:szCs w:val="28"/>
        </w:rPr>
        <w:t>报价由低到高排序，推荐排名第一的为中标候选人。报价相同的，按</w:t>
      </w:r>
      <w:r>
        <w:rPr>
          <w:rFonts w:hint="eastAsia" w:ascii="仿宋_GB2312" w:hAnsi="仿宋_GB2312" w:eastAsia="仿宋_GB2312" w:cs="仿宋_GB2312"/>
          <w:sz w:val="28"/>
          <w:szCs w:val="28"/>
          <w:lang w:eastAsia="zh-CN"/>
        </w:rPr>
        <w:t>家具配置</w:t>
      </w:r>
      <w:r>
        <w:rPr>
          <w:rFonts w:hint="eastAsia" w:ascii="仿宋_GB2312" w:hAnsi="仿宋_GB2312" w:eastAsia="仿宋_GB2312" w:cs="仿宋_GB2312"/>
          <w:sz w:val="28"/>
          <w:szCs w:val="28"/>
        </w:rPr>
        <w:t>方案优劣排序。</w:t>
      </w:r>
    </w:p>
    <w:p w14:paraId="51DCC869">
      <w:pPr>
        <w:spacing w:before="240" w:after="120" w:line="360" w:lineRule="auto"/>
        <w:ind w:firstLine="0"/>
      </w:pPr>
      <w:r>
        <w:rPr>
          <w:rFonts w:ascii="Times New Roman" w:hAnsi="Times New Roman" w:eastAsia="黑体"/>
          <w:b/>
          <w:sz w:val="28"/>
        </w:rPr>
        <w:t>二、资格性评审</w:t>
      </w:r>
    </w:p>
    <w:tbl>
      <w:tblPr>
        <w:tblStyle w:val="3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0"/>
        <w:gridCol w:w="1701"/>
        <w:gridCol w:w="6690"/>
      </w:tblGrid>
      <w:tr w14:paraId="6DBC0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680" w:type="dxa"/>
          </w:tcPr>
          <w:p w14:paraId="4756B0DB">
            <w:pPr>
              <w:spacing w:after="0"/>
              <w:ind w:firstLine="0"/>
              <w:jc w:val="center"/>
            </w:pPr>
            <w:r>
              <w:rPr>
                <w:rFonts w:ascii="Times New Roman" w:hAnsi="Times New Roman" w:eastAsia="黑体"/>
                <w:b/>
                <w:sz w:val="21"/>
              </w:rPr>
              <w:t>序号</w:t>
            </w:r>
          </w:p>
        </w:tc>
        <w:tc>
          <w:tcPr>
            <w:tcW w:w="1701" w:type="dxa"/>
          </w:tcPr>
          <w:p w14:paraId="2444DE89">
            <w:pPr>
              <w:spacing w:after="0"/>
              <w:ind w:firstLine="0"/>
              <w:jc w:val="center"/>
            </w:pPr>
            <w:r>
              <w:rPr>
                <w:rFonts w:ascii="Times New Roman" w:hAnsi="Times New Roman" w:eastAsia="黑体"/>
                <w:b/>
                <w:sz w:val="21"/>
              </w:rPr>
              <w:t>评审因素</w:t>
            </w:r>
          </w:p>
        </w:tc>
        <w:tc>
          <w:tcPr>
            <w:tcW w:w="6690" w:type="dxa"/>
            <w:shd w:val="clear" w:color="auto" w:fill="D9D9D9"/>
            <w:vAlign w:val="center"/>
          </w:tcPr>
          <w:p w14:paraId="6718D617">
            <w:pPr>
              <w:spacing w:after="0"/>
              <w:ind w:firstLine="0"/>
              <w:jc w:val="center"/>
            </w:pPr>
            <w:r>
              <w:rPr>
                <w:rFonts w:ascii="Times New Roman" w:hAnsi="Times New Roman" w:eastAsia="黑体"/>
                <w:b/>
                <w:sz w:val="21"/>
              </w:rPr>
              <w:t>评审标准</w:t>
            </w:r>
          </w:p>
        </w:tc>
      </w:tr>
      <w:tr w14:paraId="5A235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80" w:type="dxa"/>
            <w:vAlign w:val="center"/>
          </w:tcPr>
          <w:p w14:paraId="25EC4D01">
            <w:pPr>
              <w:spacing w:after="0" w:line="276" w:lineRule="auto"/>
              <w:ind w:firstLine="0"/>
              <w:jc w:val="center"/>
              <w:rPr>
                <w:highlight w:val="none"/>
              </w:rPr>
            </w:pPr>
            <w:r>
              <w:rPr>
                <w:rFonts w:ascii="Times New Roman" w:hAnsi="Times New Roman" w:eastAsia="宋体"/>
                <w:b w:val="0"/>
                <w:sz w:val="21"/>
                <w:highlight w:val="none"/>
              </w:rPr>
              <w:t>1</w:t>
            </w:r>
          </w:p>
        </w:tc>
        <w:tc>
          <w:tcPr>
            <w:tcW w:w="1701" w:type="dxa"/>
            <w:vAlign w:val="center"/>
          </w:tcPr>
          <w:p w14:paraId="4FD4D8DE">
            <w:pPr>
              <w:spacing w:after="0" w:line="276" w:lineRule="auto"/>
              <w:ind w:firstLine="0"/>
              <w:jc w:val="left"/>
              <w:rPr>
                <w:highlight w:val="none"/>
              </w:rPr>
            </w:pPr>
            <w:r>
              <w:rPr>
                <w:rFonts w:ascii="Times New Roman" w:hAnsi="Times New Roman" w:eastAsia="宋体"/>
                <w:b w:val="0"/>
                <w:sz w:val="21"/>
                <w:highlight w:val="none"/>
              </w:rPr>
              <w:t>营业执照</w:t>
            </w:r>
          </w:p>
        </w:tc>
        <w:tc>
          <w:tcPr>
            <w:tcW w:w="6690" w:type="dxa"/>
            <w:vAlign w:val="center"/>
          </w:tcPr>
          <w:p w14:paraId="71138E8B">
            <w:pPr>
              <w:spacing w:after="0" w:line="276" w:lineRule="auto"/>
              <w:ind w:firstLine="0"/>
              <w:jc w:val="left"/>
              <w:rPr>
                <w:highlight w:val="none"/>
              </w:rPr>
            </w:pPr>
            <w:r>
              <w:rPr>
                <w:rFonts w:ascii="Times New Roman" w:hAnsi="Times New Roman" w:eastAsia="宋体"/>
                <w:b w:val="0"/>
                <w:sz w:val="21"/>
                <w:highlight w:val="none"/>
              </w:rPr>
              <w:t>具有有效的营业执照</w:t>
            </w:r>
          </w:p>
        </w:tc>
      </w:tr>
      <w:tr w14:paraId="70FF8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80" w:type="dxa"/>
            <w:vAlign w:val="center"/>
          </w:tcPr>
          <w:p w14:paraId="6BAA3F64">
            <w:pPr>
              <w:spacing w:after="0" w:line="276" w:lineRule="auto"/>
              <w:ind w:firstLine="0"/>
              <w:jc w:val="center"/>
              <w:rPr>
                <w:rFonts w:hint="eastAsia" w:eastAsia="宋体"/>
                <w:lang w:eastAsia="zh-CN"/>
              </w:rPr>
            </w:pPr>
            <w:r>
              <w:rPr>
                <w:rFonts w:hint="eastAsia"/>
                <w:b w:val="0"/>
                <w:sz w:val="21"/>
                <w:lang w:val="en-US" w:eastAsia="zh-CN"/>
              </w:rPr>
              <w:t>2</w:t>
            </w:r>
          </w:p>
        </w:tc>
        <w:tc>
          <w:tcPr>
            <w:tcW w:w="1701" w:type="dxa"/>
            <w:vAlign w:val="center"/>
          </w:tcPr>
          <w:p w14:paraId="44AE6764">
            <w:pPr>
              <w:spacing w:after="0" w:line="276" w:lineRule="auto"/>
              <w:ind w:firstLine="0"/>
              <w:jc w:val="left"/>
            </w:pPr>
            <w:r>
              <w:rPr>
                <w:rFonts w:ascii="Times New Roman" w:hAnsi="Times New Roman" w:eastAsia="宋体"/>
                <w:b w:val="0"/>
                <w:sz w:val="21"/>
              </w:rPr>
              <w:t>信誉要求</w:t>
            </w:r>
          </w:p>
        </w:tc>
        <w:tc>
          <w:tcPr>
            <w:tcW w:w="6690" w:type="dxa"/>
            <w:vAlign w:val="center"/>
          </w:tcPr>
          <w:p w14:paraId="447E604E">
            <w:pPr>
              <w:spacing w:after="0" w:line="276" w:lineRule="auto"/>
              <w:ind w:firstLine="0"/>
              <w:jc w:val="left"/>
            </w:pPr>
            <w:r>
              <w:rPr>
                <w:rFonts w:hint="eastAsia" w:ascii="Times New Roman" w:hAnsi="Times New Roman" w:eastAsia="宋体"/>
                <w:b w:val="0"/>
                <w:sz w:val="21"/>
              </w:rPr>
              <w:t>签署没有不良信用记录情形的承诺函</w:t>
            </w:r>
          </w:p>
        </w:tc>
      </w:tr>
    </w:tbl>
    <w:p w14:paraId="168CC480">
      <w:pPr>
        <w:spacing w:before="240" w:after="120" w:line="360" w:lineRule="auto"/>
        <w:ind w:firstLine="0"/>
      </w:pPr>
      <w:r>
        <w:rPr>
          <w:rFonts w:ascii="Times New Roman" w:hAnsi="Times New Roman" w:eastAsia="黑体"/>
          <w:b/>
          <w:sz w:val="28"/>
        </w:rPr>
        <w:t>三、符合性评审</w:t>
      </w:r>
    </w:p>
    <w:tbl>
      <w:tblPr>
        <w:tblStyle w:val="3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0"/>
        <w:gridCol w:w="1701"/>
        <w:gridCol w:w="6690"/>
      </w:tblGrid>
      <w:tr w14:paraId="313D5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80" w:type="dxa"/>
          </w:tcPr>
          <w:p w14:paraId="0B769B64">
            <w:pPr>
              <w:spacing w:after="0"/>
              <w:ind w:firstLine="0"/>
              <w:jc w:val="center"/>
            </w:pPr>
            <w:r>
              <w:rPr>
                <w:rFonts w:ascii="Times New Roman" w:hAnsi="Times New Roman" w:eastAsia="黑体"/>
                <w:b/>
                <w:sz w:val="21"/>
              </w:rPr>
              <w:t>序号</w:t>
            </w:r>
          </w:p>
        </w:tc>
        <w:tc>
          <w:tcPr>
            <w:tcW w:w="1701" w:type="dxa"/>
          </w:tcPr>
          <w:p w14:paraId="1870728E">
            <w:pPr>
              <w:spacing w:after="0"/>
              <w:ind w:firstLine="0"/>
              <w:jc w:val="center"/>
            </w:pPr>
            <w:r>
              <w:rPr>
                <w:rFonts w:ascii="Times New Roman" w:hAnsi="Times New Roman" w:eastAsia="黑体"/>
                <w:b/>
                <w:sz w:val="21"/>
              </w:rPr>
              <w:t>评审因素</w:t>
            </w:r>
          </w:p>
        </w:tc>
        <w:tc>
          <w:tcPr>
            <w:tcW w:w="6690" w:type="dxa"/>
            <w:shd w:val="clear" w:color="auto" w:fill="D9D9D9"/>
            <w:vAlign w:val="center"/>
          </w:tcPr>
          <w:p w14:paraId="37C18024">
            <w:pPr>
              <w:spacing w:after="0"/>
              <w:ind w:firstLine="0"/>
              <w:jc w:val="center"/>
            </w:pPr>
            <w:r>
              <w:rPr>
                <w:rFonts w:ascii="Times New Roman" w:hAnsi="Times New Roman" w:eastAsia="黑体"/>
                <w:b/>
                <w:sz w:val="21"/>
              </w:rPr>
              <w:t>评审标准</w:t>
            </w:r>
          </w:p>
        </w:tc>
      </w:tr>
      <w:tr w14:paraId="15D90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80" w:type="dxa"/>
            <w:vAlign w:val="center"/>
          </w:tcPr>
          <w:p w14:paraId="0A7C4597">
            <w:pPr>
              <w:spacing w:after="0" w:line="276" w:lineRule="auto"/>
              <w:ind w:firstLine="0"/>
              <w:jc w:val="center"/>
            </w:pPr>
            <w:r>
              <w:rPr>
                <w:rFonts w:ascii="Times New Roman" w:hAnsi="Times New Roman" w:eastAsia="宋体"/>
                <w:b w:val="0"/>
                <w:sz w:val="21"/>
              </w:rPr>
              <w:t>1</w:t>
            </w:r>
          </w:p>
        </w:tc>
        <w:tc>
          <w:tcPr>
            <w:tcW w:w="1701" w:type="dxa"/>
            <w:vAlign w:val="center"/>
          </w:tcPr>
          <w:p w14:paraId="16528872">
            <w:pPr>
              <w:spacing w:after="0" w:line="276" w:lineRule="auto"/>
              <w:ind w:firstLine="0"/>
              <w:jc w:val="left"/>
            </w:pPr>
            <w:r>
              <w:rPr>
                <w:rFonts w:hint="eastAsia"/>
                <w:b w:val="0"/>
                <w:sz w:val="21"/>
                <w:lang w:eastAsia="zh-CN"/>
              </w:rPr>
              <w:t>响应文件</w:t>
            </w:r>
            <w:r>
              <w:rPr>
                <w:rFonts w:ascii="Times New Roman" w:hAnsi="Times New Roman" w:eastAsia="宋体"/>
                <w:b w:val="0"/>
                <w:sz w:val="21"/>
              </w:rPr>
              <w:t>签署</w:t>
            </w:r>
          </w:p>
        </w:tc>
        <w:tc>
          <w:tcPr>
            <w:tcW w:w="6690" w:type="dxa"/>
            <w:vAlign w:val="center"/>
          </w:tcPr>
          <w:p w14:paraId="699FD607">
            <w:pPr>
              <w:spacing w:after="0" w:line="276" w:lineRule="auto"/>
              <w:ind w:firstLine="0"/>
              <w:jc w:val="left"/>
            </w:pPr>
            <w:r>
              <w:rPr>
                <w:rFonts w:ascii="Times New Roman" w:hAnsi="Times New Roman" w:eastAsia="宋体"/>
                <w:b w:val="0"/>
                <w:sz w:val="21"/>
              </w:rPr>
              <w:t>按</w:t>
            </w:r>
            <w:r>
              <w:rPr>
                <w:rFonts w:hint="eastAsia"/>
                <w:b w:val="0"/>
                <w:sz w:val="21"/>
                <w:lang w:eastAsia="zh-CN"/>
              </w:rPr>
              <w:t>询比</w:t>
            </w:r>
            <w:r>
              <w:rPr>
                <w:rFonts w:ascii="Times New Roman" w:hAnsi="Times New Roman" w:eastAsia="宋体"/>
                <w:b w:val="0"/>
                <w:sz w:val="21"/>
              </w:rPr>
              <w:t>文件要求</w:t>
            </w:r>
            <w:r>
              <w:rPr>
                <w:rFonts w:hint="eastAsia"/>
                <w:b w:val="0"/>
                <w:sz w:val="21"/>
                <w:lang w:val="en-US" w:eastAsia="zh-CN"/>
              </w:rPr>
              <w:t>签章</w:t>
            </w:r>
            <w:r>
              <w:rPr>
                <w:rFonts w:ascii="Times New Roman" w:hAnsi="Times New Roman" w:eastAsia="宋体"/>
                <w:b w:val="0"/>
                <w:sz w:val="21"/>
              </w:rPr>
              <w:t>齐全</w:t>
            </w:r>
          </w:p>
        </w:tc>
      </w:tr>
      <w:tr w14:paraId="56E4E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80" w:type="dxa"/>
            <w:vAlign w:val="center"/>
          </w:tcPr>
          <w:p w14:paraId="35ACA417">
            <w:pPr>
              <w:spacing w:after="0" w:line="276" w:lineRule="auto"/>
              <w:ind w:firstLine="0"/>
              <w:jc w:val="center"/>
            </w:pPr>
            <w:r>
              <w:rPr>
                <w:rFonts w:ascii="Times New Roman" w:hAnsi="Times New Roman" w:eastAsia="宋体"/>
                <w:b w:val="0"/>
                <w:sz w:val="21"/>
              </w:rPr>
              <w:t>2</w:t>
            </w:r>
          </w:p>
        </w:tc>
        <w:tc>
          <w:tcPr>
            <w:tcW w:w="1701" w:type="dxa"/>
            <w:vAlign w:val="center"/>
          </w:tcPr>
          <w:p w14:paraId="0DA88270">
            <w:pPr>
              <w:spacing w:after="0" w:line="276" w:lineRule="auto"/>
              <w:ind w:firstLine="0"/>
              <w:jc w:val="left"/>
            </w:pPr>
            <w:r>
              <w:rPr>
                <w:rFonts w:ascii="Times New Roman" w:hAnsi="Times New Roman" w:eastAsia="宋体"/>
                <w:b w:val="0"/>
                <w:sz w:val="21"/>
              </w:rPr>
              <w:t>报价</w:t>
            </w:r>
          </w:p>
        </w:tc>
        <w:tc>
          <w:tcPr>
            <w:tcW w:w="6690" w:type="dxa"/>
            <w:vAlign w:val="center"/>
          </w:tcPr>
          <w:p w14:paraId="0F92C858">
            <w:pPr>
              <w:spacing w:after="0" w:line="276" w:lineRule="auto"/>
              <w:ind w:firstLine="0"/>
              <w:jc w:val="left"/>
            </w:pPr>
            <w:r>
              <w:rPr>
                <w:rFonts w:ascii="Times New Roman" w:hAnsi="Times New Roman" w:eastAsia="宋体"/>
                <w:b w:val="0"/>
                <w:sz w:val="21"/>
              </w:rPr>
              <w:t>未超过最高限价</w:t>
            </w:r>
          </w:p>
        </w:tc>
      </w:tr>
      <w:tr w14:paraId="6B87A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80" w:type="dxa"/>
            <w:vAlign w:val="center"/>
          </w:tcPr>
          <w:p w14:paraId="309C3B83">
            <w:pPr>
              <w:spacing w:after="0" w:line="276" w:lineRule="auto"/>
              <w:ind w:firstLine="0"/>
              <w:jc w:val="center"/>
              <w:rPr>
                <w:rFonts w:hint="eastAsia" w:eastAsia="宋体"/>
                <w:lang w:eastAsia="zh-CN"/>
              </w:rPr>
            </w:pPr>
            <w:r>
              <w:rPr>
                <w:rFonts w:hint="eastAsia"/>
                <w:b w:val="0"/>
                <w:sz w:val="21"/>
                <w:lang w:val="en-US" w:eastAsia="zh-CN"/>
              </w:rPr>
              <w:t>3</w:t>
            </w:r>
          </w:p>
        </w:tc>
        <w:tc>
          <w:tcPr>
            <w:tcW w:w="1701" w:type="dxa"/>
            <w:vAlign w:val="center"/>
          </w:tcPr>
          <w:p w14:paraId="0DC76939">
            <w:pPr>
              <w:spacing w:after="0" w:line="276" w:lineRule="auto"/>
              <w:ind w:firstLine="0"/>
              <w:jc w:val="left"/>
            </w:pPr>
            <w:r>
              <w:rPr>
                <w:rFonts w:ascii="Times New Roman" w:hAnsi="Times New Roman" w:eastAsia="宋体"/>
                <w:b w:val="0"/>
                <w:sz w:val="21"/>
              </w:rPr>
              <w:t>技术响应</w:t>
            </w:r>
          </w:p>
        </w:tc>
        <w:tc>
          <w:tcPr>
            <w:tcW w:w="6690" w:type="dxa"/>
            <w:vAlign w:val="center"/>
          </w:tcPr>
          <w:p w14:paraId="68127E2B">
            <w:pPr>
              <w:spacing w:after="0" w:line="276" w:lineRule="auto"/>
              <w:ind w:firstLine="0"/>
              <w:jc w:val="left"/>
            </w:pPr>
            <w:r>
              <w:rPr>
                <w:rFonts w:ascii="Times New Roman" w:hAnsi="Times New Roman" w:eastAsia="宋体"/>
                <w:b w:val="0"/>
                <w:sz w:val="21"/>
              </w:rPr>
              <w:t>家具配置及服务要求实质性响应</w:t>
            </w:r>
            <w:r>
              <w:rPr>
                <w:rFonts w:hint="eastAsia"/>
                <w:b w:val="0"/>
                <w:sz w:val="21"/>
                <w:lang w:eastAsia="zh-CN"/>
              </w:rPr>
              <w:t>询比</w:t>
            </w:r>
            <w:r>
              <w:rPr>
                <w:rFonts w:ascii="Times New Roman" w:hAnsi="Times New Roman" w:eastAsia="宋体"/>
                <w:b w:val="0"/>
                <w:sz w:val="21"/>
              </w:rPr>
              <w:t>文件</w:t>
            </w:r>
          </w:p>
        </w:tc>
      </w:tr>
      <w:tr w14:paraId="1B92C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80" w:type="dxa"/>
            <w:vAlign w:val="center"/>
          </w:tcPr>
          <w:p w14:paraId="309691D0">
            <w:pPr>
              <w:spacing w:after="0" w:line="276" w:lineRule="auto"/>
              <w:ind w:firstLine="0"/>
              <w:jc w:val="center"/>
              <w:rPr>
                <w:rFonts w:hint="eastAsia" w:eastAsia="宋体"/>
                <w:lang w:eastAsia="zh-CN"/>
              </w:rPr>
            </w:pPr>
            <w:r>
              <w:rPr>
                <w:rFonts w:hint="eastAsia"/>
                <w:b w:val="0"/>
                <w:sz w:val="21"/>
                <w:lang w:val="en-US" w:eastAsia="zh-CN"/>
              </w:rPr>
              <w:t>4</w:t>
            </w:r>
          </w:p>
        </w:tc>
        <w:tc>
          <w:tcPr>
            <w:tcW w:w="1701" w:type="dxa"/>
            <w:vAlign w:val="center"/>
          </w:tcPr>
          <w:p w14:paraId="62FA6100">
            <w:pPr>
              <w:spacing w:after="0" w:line="276" w:lineRule="auto"/>
              <w:ind w:firstLine="0"/>
              <w:jc w:val="left"/>
            </w:pPr>
            <w:r>
              <w:rPr>
                <w:rFonts w:ascii="Times New Roman" w:hAnsi="Times New Roman" w:eastAsia="宋体"/>
                <w:b w:val="0"/>
                <w:sz w:val="21"/>
              </w:rPr>
              <w:t>其他</w:t>
            </w:r>
          </w:p>
        </w:tc>
        <w:tc>
          <w:tcPr>
            <w:tcW w:w="6690" w:type="dxa"/>
            <w:vAlign w:val="center"/>
          </w:tcPr>
          <w:p w14:paraId="1C609C29">
            <w:pPr>
              <w:spacing w:after="0" w:line="276" w:lineRule="auto"/>
              <w:ind w:firstLine="0"/>
              <w:jc w:val="left"/>
            </w:pPr>
            <w:r>
              <w:rPr>
                <w:rFonts w:ascii="Times New Roman" w:hAnsi="Times New Roman" w:eastAsia="宋体"/>
                <w:b w:val="0"/>
                <w:sz w:val="21"/>
              </w:rPr>
              <w:t>无</w:t>
            </w:r>
            <w:r>
              <w:rPr>
                <w:rFonts w:hint="eastAsia"/>
                <w:b w:val="0"/>
                <w:sz w:val="21"/>
                <w:lang w:eastAsia="zh-CN"/>
              </w:rPr>
              <w:t>采购方</w:t>
            </w:r>
            <w:r>
              <w:rPr>
                <w:rFonts w:ascii="Times New Roman" w:hAnsi="Times New Roman" w:eastAsia="宋体"/>
                <w:b w:val="0"/>
                <w:sz w:val="21"/>
              </w:rPr>
              <w:t>不能接受的附加条件</w:t>
            </w:r>
          </w:p>
        </w:tc>
      </w:tr>
    </w:tbl>
    <w:p w14:paraId="416EE4DD">
      <w:pPr>
        <w:spacing w:before="240" w:after="120" w:line="360" w:lineRule="auto"/>
        <w:ind w:firstLine="0"/>
      </w:pPr>
      <w:r>
        <w:rPr>
          <w:rFonts w:ascii="Times New Roman" w:hAnsi="Times New Roman" w:eastAsia="黑体"/>
          <w:b/>
          <w:sz w:val="28"/>
        </w:rPr>
        <w:t>四、评审程序</w:t>
      </w:r>
    </w:p>
    <w:p w14:paraId="4A68605E">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 资格性评审：评标委员会按照上表对</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进行资格审查，不通过的按无效</w:t>
      </w:r>
      <w:r>
        <w:rPr>
          <w:rFonts w:hint="eastAsia" w:ascii="仿宋_GB2312" w:hAnsi="仿宋_GB2312" w:eastAsia="仿宋_GB2312" w:cs="仿宋_GB2312"/>
          <w:sz w:val="28"/>
          <w:szCs w:val="28"/>
          <w:lang w:eastAsia="zh-CN"/>
        </w:rPr>
        <w:t>报价</w:t>
      </w:r>
      <w:r>
        <w:rPr>
          <w:rFonts w:hint="eastAsia" w:ascii="仿宋_GB2312" w:hAnsi="仿宋_GB2312" w:eastAsia="仿宋_GB2312" w:cs="仿宋_GB2312"/>
          <w:sz w:val="28"/>
          <w:szCs w:val="28"/>
        </w:rPr>
        <w:t>处理。</w:t>
      </w:r>
    </w:p>
    <w:p w14:paraId="4DB0B771">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 符合性评审：对通过资格性评审的</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进行符合性审查，不通过的按无效</w:t>
      </w:r>
      <w:r>
        <w:rPr>
          <w:rFonts w:hint="eastAsia" w:ascii="仿宋_GB2312" w:hAnsi="仿宋_GB2312" w:eastAsia="仿宋_GB2312" w:cs="仿宋_GB2312"/>
          <w:sz w:val="28"/>
          <w:szCs w:val="28"/>
          <w:lang w:eastAsia="zh-CN"/>
        </w:rPr>
        <w:t>报价</w:t>
      </w:r>
      <w:r>
        <w:rPr>
          <w:rFonts w:hint="eastAsia" w:ascii="仿宋_GB2312" w:hAnsi="仿宋_GB2312" w:eastAsia="仿宋_GB2312" w:cs="仿宋_GB2312"/>
          <w:sz w:val="28"/>
          <w:szCs w:val="28"/>
        </w:rPr>
        <w:t>处理。</w:t>
      </w:r>
    </w:p>
    <w:p w14:paraId="6088F517">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 价格排序：对通过符合性评审的</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，按</w:t>
      </w:r>
      <w:r>
        <w:rPr>
          <w:rFonts w:hint="eastAsia" w:ascii="仿宋_GB2312" w:hAnsi="仿宋_GB2312" w:eastAsia="仿宋_GB2312" w:cs="仿宋_GB2312"/>
          <w:sz w:val="28"/>
          <w:szCs w:val="28"/>
          <w:lang w:val="en-US" w:eastAsia="zh-CN"/>
        </w:rPr>
        <w:t>不</w:t>
      </w:r>
      <w:r>
        <w:rPr>
          <w:rFonts w:hint="eastAsia" w:ascii="仿宋_GB2312" w:hAnsi="仿宋_GB2312" w:eastAsia="仿宋_GB2312" w:cs="仿宋_GB2312"/>
          <w:color w:val="auto"/>
          <w:sz w:val="28"/>
          <w:szCs w:val="28"/>
          <w:highlight w:val="none"/>
          <w:u w:val="none"/>
          <w:lang w:eastAsia="zh-CN"/>
        </w:rPr>
        <w:t>含税</w:t>
      </w:r>
      <w:r>
        <w:rPr>
          <w:rFonts w:hint="eastAsia" w:ascii="仿宋_GB2312" w:hAnsi="仿宋_GB2312" w:eastAsia="仿宋_GB2312" w:cs="仿宋_GB2312"/>
          <w:color w:val="auto"/>
          <w:sz w:val="28"/>
          <w:szCs w:val="28"/>
          <w:highlight w:val="none"/>
          <w:lang w:eastAsia="zh-CN"/>
        </w:rPr>
        <w:t>单价</w:t>
      </w:r>
      <w:r>
        <w:rPr>
          <w:rFonts w:hint="eastAsia" w:ascii="仿宋_GB2312" w:hAnsi="仿宋_GB2312" w:eastAsia="仿宋_GB2312" w:cs="仿宋_GB2312"/>
          <w:sz w:val="28"/>
          <w:szCs w:val="28"/>
        </w:rPr>
        <w:t>报价由低到高排序。</w:t>
      </w:r>
    </w:p>
    <w:p w14:paraId="2730A4BA">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 推荐中标候选人：推荐排名第一的为第一中标候选人。若第一中标候选人放弃中标或不符合中标条件，</w:t>
      </w:r>
      <w:r>
        <w:rPr>
          <w:rFonts w:hint="eastAsia" w:ascii="仿宋_GB2312" w:hAnsi="仿宋_GB2312" w:eastAsia="仿宋_GB2312" w:cs="仿宋_GB2312"/>
          <w:sz w:val="28"/>
          <w:szCs w:val="28"/>
          <w:lang w:eastAsia="zh-CN"/>
        </w:rPr>
        <w:t>采购方</w:t>
      </w:r>
      <w:r>
        <w:rPr>
          <w:rFonts w:hint="eastAsia" w:ascii="仿宋_GB2312" w:hAnsi="仿宋_GB2312" w:eastAsia="仿宋_GB2312" w:cs="仿宋_GB2312"/>
          <w:sz w:val="28"/>
          <w:szCs w:val="28"/>
        </w:rPr>
        <w:t>可按排序依次确定其他中标候选人。报价相同的，按</w:t>
      </w:r>
      <w:r>
        <w:rPr>
          <w:rFonts w:hint="eastAsia" w:ascii="仿宋_GB2312" w:hAnsi="仿宋_GB2312" w:eastAsia="仿宋_GB2312" w:cs="仿宋_GB2312"/>
          <w:sz w:val="28"/>
          <w:szCs w:val="28"/>
          <w:lang w:eastAsia="zh-CN"/>
        </w:rPr>
        <w:t>家具配置</w:t>
      </w:r>
      <w:r>
        <w:rPr>
          <w:rFonts w:hint="eastAsia" w:ascii="仿宋_GB2312" w:hAnsi="仿宋_GB2312" w:eastAsia="仿宋_GB2312" w:cs="仿宋_GB2312"/>
          <w:sz w:val="28"/>
          <w:szCs w:val="28"/>
        </w:rPr>
        <w:t>方案优劣排序。</w:t>
      </w:r>
    </w:p>
    <w:p w14:paraId="151080A4">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 报价明显低于其他通过评审的</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，有可能影响服务质量或不能诚信履约的，评标委员会有权要求其在规定时间内提供书面说明并提供相关证明材料；不能证明其报价合理性的，按无效</w:t>
      </w:r>
      <w:r>
        <w:rPr>
          <w:rFonts w:hint="eastAsia" w:ascii="仿宋_GB2312" w:hAnsi="仿宋_GB2312" w:eastAsia="仿宋_GB2312" w:cs="仿宋_GB2312"/>
          <w:sz w:val="28"/>
          <w:szCs w:val="28"/>
          <w:lang w:eastAsia="zh-CN"/>
        </w:rPr>
        <w:t>报价</w:t>
      </w:r>
      <w:r>
        <w:rPr>
          <w:rFonts w:hint="eastAsia" w:ascii="仿宋_GB2312" w:hAnsi="仿宋_GB2312" w:eastAsia="仿宋_GB2312" w:cs="仿宋_GB2312"/>
          <w:sz w:val="28"/>
          <w:szCs w:val="28"/>
        </w:rPr>
        <w:t>处理。</w:t>
      </w:r>
    </w:p>
    <w:p w14:paraId="4FA91DE7">
      <w:r>
        <w:br w:type="page"/>
      </w:r>
    </w:p>
    <w:p w14:paraId="49F06C6B">
      <w:pPr>
        <w:spacing w:before="360" w:after="240" w:line="360" w:lineRule="auto"/>
        <w:ind w:firstLine="0"/>
        <w:jc w:val="center"/>
        <w:outlineLvl w:val="0"/>
      </w:pPr>
      <w:bookmarkStart w:id="4" w:name="_Toc547322917"/>
      <w:r>
        <w:rPr>
          <w:rFonts w:ascii="Times New Roman" w:hAnsi="Times New Roman" w:eastAsia="黑体"/>
          <w:b/>
          <w:sz w:val="32"/>
        </w:rPr>
        <w:t>第五章  租赁合同（主要条款）</w:t>
      </w:r>
      <w:bookmarkEnd w:id="4"/>
    </w:p>
    <w:p w14:paraId="054F04E2">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合同编号：【】</w:t>
      </w:r>
    </w:p>
    <w:p w14:paraId="76D40D6B">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承</w:t>
      </w:r>
      <w:r>
        <w:rPr>
          <w:rFonts w:hint="eastAsia" w:ascii="仿宋_GB2312" w:hAnsi="仿宋_GB2312" w:eastAsia="仿宋_GB2312" w:cs="仿宋_GB2312"/>
          <w:sz w:val="28"/>
          <w:szCs w:val="28"/>
        </w:rPr>
        <w:t>租方（甲方）：合肥南方物流发展有限公司</w:t>
      </w:r>
    </w:p>
    <w:p w14:paraId="7452E010">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出</w:t>
      </w:r>
      <w:r>
        <w:rPr>
          <w:rFonts w:hint="eastAsia" w:ascii="仿宋_GB2312" w:hAnsi="仿宋_GB2312" w:eastAsia="仿宋_GB2312" w:cs="仿宋_GB2312"/>
          <w:sz w:val="28"/>
          <w:szCs w:val="28"/>
        </w:rPr>
        <w:t>租方（乙方）：【中标人名称】</w:t>
      </w:r>
    </w:p>
    <w:p w14:paraId="6F10BEDB">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根据《中华人民共和国民法典》及相关法律法规，甲乙双方在平等、自愿、诚实信用的基础上，就甲方向乙方租赁职工宿舍家具事宜，订立本合同。</w:t>
      </w:r>
    </w:p>
    <w:p w14:paraId="6E1F22C4">
      <w:pPr>
        <w:spacing w:before="240" w:after="120" w:line="360" w:lineRule="auto"/>
        <w:ind w:firstLine="0"/>
      </w:pPr>
      <w:r>
        <w:rPr>
          <w:rFonts w:ascii="Times New Roman" w:hAnsi="Times New Roman" w:eastAsia="黑体"/>
          <w:b/>
          <w:sz w:val="28"/>
        </w:rPr>
        <w:t>第一条 租赁物</w:t>
      </w:r>
    </w:p>
    <w:p w14:paraId="20B716BF">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乙方向甲方出租间职工宿舍配套家具（</w:t>
      </w:r>
      <w:r>
        <w:rPr>
          <w:rFonts w:hint="eastAsia" w:ascii="仿宋_GB2312" w:hAnsi="仿宋_GB2312" w:eastAsia="仿宋_GB2312" w:cs="仿宋_GB2312"/>
          <w:sz w:val="28"/>
          <w:szCs w:val="28"/>
          <w:lang w:eastAsia="zh-CN"/>
        </w:rPr>
        <w:t>每间</w:t>
      </w:r>
      <w:r>
        <w:rPr>
          <w:rFonts w:hint="eastAsia" w:ascii="仿宋_GB2312" w:hAnsi="仿宋_GB2312" w:eastAsia="仿宋_GB2312" w:cs="仿宋_GB2312"/>
          <w:sz w:val="28"/>
          <w:szCs w:val="28"/>
        </w:rPr>
        <w:t>含高低床</w:t>
      </w:r>
      <w:r>
        <w:rPr>
          <w:rFonts w:hint="eastAsia" w:ascii="仿宋_GB2312" w:hAnsi="仿宋_GB2312" w:eastAsia="仿宋_GB2312" w:cs="仿宋_GB2312"/>
          <w:sz w:val="28"/>
          <w:szCs w:val="28"/>
          <w:lang w:val="en-US" w:eastAsia="zh-CN"/>
        </w:rPr>
        <w:t>2</w:t>
      </w:r>
      <w:r>
        <w:rPr>
          <w:rFonts w:hint="eastAsia" w:ascii="仿宋_GB2312" w:hAnsi="仿宋_GB2312" w:eastAsia="仿宋_GB2312" w:cs="仿宋_GB2312"/>
          <w:sz w:val="28"/>
          <w:szCs w:val="28"/>
        </w:rPr>
        <w:t>张、储物柜</w:t>
      </w: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rPr>
        <w:t>个、空调</w:t>
      </w: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rPr>
        <w:t>台、窗帘</w:t>
      </w: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rPr>
        <w:t>套），按甲方实际需求分批配置，预计共23间</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单间</w:t>
      </w:r>
      <w:r>
        <w:rPr>
          <w:rFonts w:hint="eastAsia" w:ascii="仿宋_GB2312" w:hAnsi="仿宋_GB2312" w:eastAsia="仿宋_GB2312" w:cs="仿宋_GB2312"/>
          <w:sz w:val="28"/>
          <w:szCs w:val="28"/>
          <w:lang w:val="en-US" w:eastAsia="zh-CN"/>
        </w:rPr>
        <w:t>2年</w:t>
      </w:r>
      <w:r>
        <w:rPr>
          <w:rFonts w:hint="eastAsia" w:ascii="仿宋_GB2312" w:hAnsi="仿宋_GB2312" w:eastAsia="仿宋_GB2312" w:cs="仿宋_GB2312"/>
          <w:sz w:val="28"/>
          <w:szCs w:val="28"/>
        </w:rPr>
        <w:t xml:space="preserve">租金单价为人民币【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 xml:space="preserve">   】元/间（大写：【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 xml:space="preserve">    】），最终租金按实际配置间数×单间</w:t>
      </w:r>
      <w:r>
        <w:rPr>
          <w:rFonts w:hint="eastAsia" w:ascii="仿宋_GB2312" w:hAnsi="仿宋_GB2312" w:eastAsia="仿宋_GB2312" w:cs="仿宋_GB2312"/>
          <w:sz w:val="28"/>
          <w:szCs w:val="28"/>
          <w:lang w:val="en-US" w:eastAsia="zh-CN"/>
        </w:rPr>
        <w:t>2年</w:t>
      </w:r>
      <w:r>
        <w:rPr>
          <w:rFonts w:hint="eastAsia" w:ascii="仿宋_GB2312" w:hAnsi="仿宋_GB2312" w:eastAsia="仿宋_GB2312" w:cs="仿宋_GB2312"/>
          <w:sz w:val="28"/>
          <w:szCs w:val="28"/>
        </w:rPr>
        <w:t>租金单价结算。</w:t>
      </w:r>
    </w:p>
    <w:p w14:paraId="6AA3DD1E">
      <w:pPr>
        <w:spacing w:before="240" w:after="120" w:line="360" w:lineRule="auto"/>
        <w:ind w:firstLine="0"/>
      </w:pPr>
      <w:r>
        <w:rPr>
          <w:rFonts w:ascii="Times New Roman" w:hAnsi="Times New Roman" w:eastAsia="黑体"/>
          <w:b/>
          <w:sz w:val="28"/>
        </w:rPr>
        <w:t>第二条 租赁期限</w:t>
      </w:r>
    </w:p>
    <w:p w14:paraId="55A75A5C">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租赁期限为2年，自家具安装调试验收合格并交付使用之日起计算。</w:t>
      </w:r>
    </w:p>
    <w:p w14:paraId="562CE7C4">
      <w:pPr>
        <w:spacing w:before="240" w:after="120" w:line="360" w:lineRule="auto"/>
        <w:ind w:firstLine="0"/>
      </w:pPr>
      <w:r>
        <w:rPr>
          <w:rFonts w:ascii="Times New Roman" w:hAnsi="Times New Roman" w:eastAsia="黑体"/>
          <w:b/>
          <w:sz w:val="28"/>
        </w:rPr>
        <w:t>第三条 租金及支付方式</w:t>
      </w:r>
    </w:p>
    <w:p w14:paraId="28B4C009">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 本合同签订后，甲方根据实际配置进度分批安装验收；每批次家具安装验收合格后15个工作日内，甲方向乙方支付该批次对应租金的90%。</w:t>
      </w:r>
    </w:p>
    <w:p w14:paraId="77B4BFEA">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 每批次剩余10%租金作为履约保证金，全部租赁期满且家具完好移交、乙方无违约情形的，甲方在30日内无息退还。</w:t>
      </w:r>
    </w:p>
    <w:p w14:paraId="3FF5F394">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 乙方应在甲方付款前提供等额合法有效的增值税专用发票，否则甲方有权顺延付款。</w:t>
      </w:r>
    </w:p>
    <w:p w14:paraId="17495B0B">
      <w:pPr>
        <w:spacing w:before="240" w:after="120" w:line="360" w:lineRule="auto"/>
        <w:ind w:firstLine="0"/>
      </w:pPr>
      <w:r>
        <w:rPr>
          <w:rFonts w:ascii="Times New Roman" w:hAnsi="Times New Roman" w:eastAsia="黑体"/>
          <w:b/>
          <w:sz w:val="28"/>
        </w:rPr>
        <w:t>第四条 交付与验收</w:t>
      </w:r>
    </w:p>
    <w:p w14:paraId="427AA23A">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 乙方应在甲方下达每个批次配置需求后 12 日内将该批次家具运抵甲方指定地点并完成安装调试</w:t>
      </w:r>
      <w:r>
        <w:rPr>
          <w:rFonts w:hint="eastAsia" w:ascii="仿宋_GB2312" w:hAnsi="仿宋_GB2312" w:eastAsia="仿宋_GB2312" w:cs="仿宋_GB2312"/>
          <w:sz w:val="28"/>
          <w:szCs w:val="28"/>
          <w:lang w:eastAsia="zh-CN"/>
        </w:rPr>
        <w:t>。</w:t>
      </w:r>
    </w:p>
    <w:p w14:paraId="19BB91C9">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 安装完成后，甲方在7个工作日内组织验收。验收不合格的，乙方应在5个工作日内整改完毕并重新申请验收。</w:t>
      </w:r>
    </w:p>
    <w:p w14:paraId="392E0FAF">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 验收合格之日为租赁起算日。</w:t>
      </w:r>
    </w:p>
    <w:p w14:paraId="2E40D281">
      <w:pPr>
        <w:spacing w:before="240" w:after="120" w:line="360" w:lineRule="auto"/>
        <w:ind w:firstLine="0"/>
      </w:pPr>
      <w:r>
        <w:rPr>
          <w:rFonts w:ascii="Times New Roman" w:hAnsi="Times New Roman" w:eastAsia="黑体"/>
          <w:b/>
          <w:sz w:val="28"/>
        </w:rPr>
        <w:t>第五条 双方权利义务</w:t>
      </w:r>
    </w:p>
    <w:p w14:paraId="2660A47D">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 甲方权利义务：按约定支付租金；合理使用租赁家具；不得擅自转租、转借或改变家具用途；协助乙方现场安装及维修。</w:t>
      </w:r>
    </w:p>
    <w:p w14:paraId="44C1A9BB">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 乙方权利义务：保证储物柜、空调、窗帘为全新正品，高低床为成色良好、结构安全的可用产品；负责</w:t>
      </w:r>
      <w:r>
        <w:rPr>
          <w:rFonts w:hint="eastAsia" w:ascii="仿宋_GB2312" w:hAnsi="仿宋_GB2312" w:eastAsia="仿宋_GB2312" w:cs="仿宋_GB2312"/>
          <w:sz w:val="28"/>
          <w:szCs w:val="28"/>
          <w:lang w:val="en-US" w:eastAsia="zh-CN"/>
        </w:rPr>
        <w:t>2年</w:t>
      </w:r>
      <w:r>
        <w:rPr>
          <w:rFonts w:hint="eastAsia" w:ascii="仿宋_GB2312" w:hAnsi="仿宋_GB2312" w:eastAsia="仿宋_GB2312" w:cs="仿宋_GB2312"/>
          <w:sz w:val="28"/>
          <w:szCs w:val="28"/>
        </w:rPr>
        <w:t>租赁期内家具的维修和非人为损坏的更换；按约定时间交付家具；</w:t>
      </w:r>
      <w:r>
        <w:rPr>
          <w:rFonts w:hint="eastAsia" w:ascii="仿宋_GB2312" w:hAnsi="仿宋_GB2312" w:eastAsia="仿宋_GB2312" w:cs="仿宋_GB2312"/>
          <w:sz w:val="28"/>
          <w:szCs w:val="28"/>
          <w:lang w:val="en-US" w:eastAsia="zh-CN"/>
        </w:rPr>
        <w:t>2年</w:t>
      </w:r>
      <w:r>
        <w:rPr>
          <w:rFonts w:hint="eastAsia" w:ascii="仿宋_GB2312" w:hAnsi="仿宋_GB2312" w:eastAsia="仿宋_GB2312" w:cs="仿宋_GB2312"/>
          <w:sz w:val="28"/>
          <w:szCs w:val="28"/>
        </w:rPr>
        <w:t>租赁期满后，所有租赁物品就地留存于项目宿舍现场，</w:t>
      </w:r>
      <w:r>
        <w:rPr>
          <w:rFonts w:hint="eastAsia" w:ascii="仿宋_GB2312" w:hAnsi="仿宋_GB2312" w:eastAsia="仿宋_GB2312" w:cs="仿宋_GB2312"/>
          <w:sz w:val="28"/>
          <w:szCs w:val="28"/>
          <w:lang w:eastAsia="zh-CN"/>
        </w:rPr>
        <w:t>甲方</w:t>
      </w:r>
      <w:r>
        <w:rPr>
          <w:rFonts w:hint="eastAsia" w:ascii="仿宋_GB2312" w:hAnsi="仿宋_GB2312" w:eastAsia="仿宋_GB2312" w:cs="仿宋_GB2312"/>
          <w:sz w:val="28"/>
          <w:szCs w:val="28"/>
        </w:rPr>
        <w:t>无偿使用，</w:t>
      </w:r>
      <w:r>
        <w:rPr>
          <w:rFonts w:hint="eastAsia" w:ascii="仿宋_GB2312" w:hAnsi="仿宋_GB2312" w:eastAsia="仿宋_GB2312" w:cs="仿宋_GB2312"/>
          <w:sz w:val="28"/>
          <w:szCs w:val="28"/>
          <w:lang w:eastAsia="zh-CN"/>
        </w:rPr>
        <w:t>乙方</w:t>
      </w:r>
      <w:r>
        <w:rPr>
          <w:rFonts w:hint="eastAsia" w:ascii="仿宋_GB2312" w:hAnsi="仿宋_GB2312" w:eastAsia="仿宋_GB2312" w:cs="仿宋_GB2312"/>
          <w:sz w:val="28"/>
          <w:szCs w:val="28"/>
        </w:rPr>
        <w:t>不得实施拆卸、搬离、回收、索要取回等任何行为</w:t>
      </w:r>
      <w:r>
        <w:rPr>
          <w:rFonts w:hint="eastAsia" w:ascii="仿宋_GB2312" w:hAnsi="仿宋_GB2312" w:eastAsia="仿宋_GB2312" w:cs="仿宋_GB2312"/>
          <w:sz w:val="28"/>
          <w:szCs w:val="28"/>
          <w:lang w:eastAsia="zh-CN"/>
        </w:rPr>
        <w:t>。</w:t>
      </w:r>
    </w:p>
    <w:p w14:paraId="13F1E2AA">
      <w:pPr>
        <w:spacing w:before="240" w:after="120" w:line="360" w:lineRule="auto"/>
        <w:ind w:firstLine="0"/>
      </w:pPr>
      <w:r>
        <w:rPr>
          <w:rFonts w:ascii="Times New Roman" w:hAnsi="Times New Roman" w:eastAsia="黑体"/>
          <w:b/>
          <w:sz w:val="28"/>
        </w:rPr>
        <w:t>第六条 维修与更换</w:t>
      </w:r>
    </w:p>
    <w:p w14:paraId="66E2B001">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1. </w:t>
      </w:r>
      <w:r>
        <w:rPr>
          <w:rFonts w:hint="eastAsia" w:ascii="仿宋_GB2312" w:hAnsi="仿宋_GB2312" w:eastAsia="仿宋_GB2312" w:cs="仿宋_GB2312"/>
          <w:sz w:val="28"/>
          <w:szCs w:val="28"/>
          <w:lang w:val="en-US" w:eastAsia="zh-CN"/>
        </w:rPr>
        <w:t>2年</w:t>
      </w:r>
      <w:r>
        <w:rPr>
          <w:rFonts w:hint="eastAsia" w:ascii="仿宋_GB2312" w:hAnsi="仿宋_GB2312" w:eastAsia="仿宋_GB2312" w:cs="仿宋_GB2312"/>
          <w:sz w:val="28"/>
          <w:szCs w:val="28"/>
        </w:rPr>
        <w:t>租赁期内，因家具自身质量问题发生的故障或损坏，由乙方免费维修或更换。</w:t>
      </w:r>
    </w:p>
    <w:p w14:paraId="22FFDEE1">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 因甲方使用不当造成的损坏，乙方可按成本价收取维修费用。</w:t>
      </w:r>
    </w:p>
    <w:p w14:paraId="5809821D">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 乙方接到报修通知后24小时内响应，48小时内到场处理。</w:t>
      </w:r>
    </w:p>
    <w:p w14:paraId="7AEE6777">
      <w:pPr>
        <w:spacing w:before="240" w:after="120" w:line="360" w:lineRule="auto"/>
        <w:ind w:firstLine="0"/>
      </w:pPr>
      <w:r>
        <w:rPr>
          <w:rFonts w:ascii="Times New Roman" w:hAnsi="Times New Roman" w:eastAsia="黑体"/>
          <w:b/>
          <w:sz w:val="28"/>
        </w:rPr>
        <w:t>第七条 违约责任</w:t>
      </w:r>
    </w:p>
    <w:p w14:paraId="4FA08A1E">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 乙方逾期交付家具的，每逾期一日按总租金的万分之五向甲方支付违约金；逾期超过30日的，甲方有权解除合同，乙方应退还已收款项并支付</w:t>
      </w:r>
      <w:r>
        <w:rPr>
          <w:rFonts w:hint="eastAsia" w:ascii="仿宋_GB2312" w:hAnsi="仿宋_GB2312" w:eastAsia="仿宋_GB2312" w:cs="仿宋_GB2312"/>
          <w:sz w:val="28"/>
          <w:szCs w:val="28"/>
          <w:lang w:eastAsia="zh-CN"/>
        </w:rPr>
        <w:t>该</w:t>
      </w:r>
      <w:r>
        <w:rPr>
          <w:rFonts w:hint="eastAsia" w:ascii="仿宋_GB2312" w:hAnsi="仿宋_GB2312" w:eastAsia="仿宋_GB2312" w:cs="仿宋_GB2312"/>
          <w:sz w:val="28"/>
          <w:szCs w:val="28"/>
        </w:rPr>
        <w:t>批次租金10%的违约金。</w:t>
      </w:r>
    </w:p>
    <w:p w14:paraId="18803D32">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 甲方逾期支付租金的，每逾期一日按应付未付金额的万分之五向乙方支付违约金。</w:t>
      </w:r>
    </w:p>
    <w:p w14:paraId="352ED769">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 乙方未按约定履行维修义务，经甲方催告后3日内仍未履行的，甲方可自行或委托第三方维修，费用由乙方承担，甲方有权从履约保证金中直接扣除。</w:t>
      </w:r>
    </w:p>
    <w:p w14:paraId="28928CB0">
      <w:pPr>
        <w:spacing w:before="240" w:after="120" w:line="360" w:lineRule="auto"/>
        <w:ind w:firstLine="0"/>
      </w:pPr>
      <w:r>
        <w:rPr>
          <w:rFonts w:ascii="Times New Roman" w:hAnsi="Times New Roman" w:eastAsia="黑体"/>
          <w:b/>
          <w:sz w:val="28"/>
        </w:rPr>
        <w:t>第八条 不可抗力</w:t>
      </w:r>
    </w:p>
    <w:p w14:paraId="149C24F3">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因不可抗力导致合同不能履行的，双方互不承担违约责任，但应及时通知对方并采取措施减少损失。</w:t>
      </w:r>
    </w:p>
    <w:p w14:paraId="5EAF32B7">
      <w:pPr>
        <w:spacing w:before="240" w:after="120" w:line="360" w:lineRule="auto"/>
        <w:ind w:firstLine="0"/>
      </w:pPr>
      <w:r>
        <w:rPr>
          <w:rFonts w:ascii="Times New Roman" w:hAnsi="Times New Roman" w:eastAsia="黑体"/>
          <w:b/>
          <w:sz w:val="28"/>
        </w:rPr>
        <w:t>第九条 争议解决</w:t>
      </w:r>
    </w:p>
    <w:p w14:paraId="51E6D393">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本合同履行过程中发生争议的，双方应友好协商解决；协商不成的，任何一方均可向甲方所在地有管辖权的人民法院提起诉讼。</w:t>
      </w:r>
    </w:p>
    <w:p w14:paraId="51FCE15B">
      <w:pPr>
        <w:spacing w:before="240" w:after="120" w:line="360" w:lineRule="auto"/>
        <w:ind w:firstLine="0"/>
      </w:pPr>
      <w:r>
        <w:rPr>
          <w:rFonts w:ascii="Times New Roman" w:hAnsi="Times New Roman" w:eastAsia="黑体"/>
          <w:b/>
          <w:sz w:val="28"/>
        </w:rPr>
        <w:t>第十条 其他</w:t>
      </w:r>
    </w:p>
    <w:p w14:paraId="3E01F891">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 本合同未尽事宜，双方可签订补充协议，补充协议与本合同具有同等法律效力。</w:t>
      </w:r>
    </w:p>
    <w:p w14:paraId="4205A926">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 本合同一式肆份，甲方执叁份，乙方执壹份，自双方法定代表人或授权代表签字并加盖公章之日起生效。</w:t>
      </w:r>
    </w:p>
    <w:p w14:paraId="52E653A6">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rPr>
      </w:pPr>
    </w:p>
    <w:p w14:paraId="0A3D9948">
      <w:pPr>
        <w:keepNext w:val="0"/>
        <w:keepLines w:val="0"/>
        <w:pageBreakBefore w:val="0"/>
        <w:widowControl w:val="0"/>
        <w:kinsoku/>
        <w:wordWrap/>
        <w:overflowPunct/>
        <w:topLinePunct/>
        <w:autoSpaceDE/>
        <w:autoSpaceDN/>
        <w:bidi w:val="0"/>
        <w:snapToGrid/>
        <w:spacing w:line="560" w:lineRule="exact"/>
        <w:ind w:left="0" w:leftChars="0" w:firstLine="0" w:firstLineChars="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甲方（盖章）：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乙方（盖章）：</w:t>
      </w:r>
    </w:p>
    <w:p w14:paraId="3FB51297">
      <w:pPr>
        <w:keepNext w:val="0"/>
        <w:keepLines w:val="0"/>
        <w:pageBreakBefore w:val="0"/>
        <w:widowControl w:val="0"/>
        <w:kinsoku/>
        <w:wordWrap/>
        <w:overflowPunct/>
        <w:topLinePunct/>
        <w:autoSpaceDE/>
        <w:autoSpaceDN/>
        <w:bidi w:val="0"/>
        <w:snapToGrid/>
        <w:spacing w:line="560" w:lineRule="exact"/>
        <w:ind w:left="0" w:leftChars="0" w:firstLine="0" w:firstLineChars="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 xml:space="preserve">合肥南方物流发展有限公司        </w:t>
      </w:r>
      <w:r>
        <w:rPr>
          <w:rFonts w:hint="eastAsia" w:ascii="仿宋_GB2312" w:hAnsi="仿宋_GB2312" w:eastAsia="仿宋_GB2312" w:cs="仿宋_GB2312"/>
          <w:sz w:val="28"/>
          <w:szCs w:val="28"/>
          <w:lang w:val="en-US" w:eastAsia="zh-CN"/>
        </w:rPr>
        <w:t xml:space="preserve"> </w:t>
      </w:r>
    </w:p>
    <w:p w14:paraId="3DBD02BE">
      <w:pPr>
        <w:keepNext w:val="0"/>
        <w:keepLines w:val="0"/>
        <w:pageBreakBefore w:val="0"/>
        <w:widowControl w:val="0"/>
        <w:kinsoku/>
        <w:wordWrap/>
        <w:overflowPunct/>
        <w:topLinePunct/>
        <w:autoSpaceDE/>
        <w:autoSpaceDN/>
        <w:bidi w:val="0"/>
        <w:snapToGrid/>
        <w:spacing w:line="560" w:lineRule="exact"/>
        <w:ind w:left="0" w:leftChars="0" w:firstLine="0" w:firstLineChars="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法定代表人/授权代表：                法定代表人/授权代表：</w:t>
      </w:r>
    </w:p>
    <w:p w14:paraId="72B89AEC">
      <w:pPr>
        <w:keepNext w:val="0"/>
        <w:keepLines w:val="0"/>
        <w:pageBreakBefore w:val="0"/>
        <w:widowControl w:val="0"/>
        <w:kinsoku/>
        <w:wordWrap/>
        <w:overflowPunct/>
        <w:topLinePunct/>
        <w:autoSpaceDE/>
        <w:autoSpaceDN/>
        <w:bidi w:val="0"/>
        <w:snapToGrid/>
        <w:spacing w:line="560" w:lineRule="exact"/>
        <w:ind w:left="0" w:leftChars="0" w:firstLine="0" w:firstLineChars="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日期：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 xml:space="preserve"> 年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 xml:space="preserve">月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 xml:space="preserve">  日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 xml:space="preserve">日期：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 xml:space="preserve">年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 xml:space="preserve">月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日</w:t>
      </w:r>
    </w:p>
    <w:p w14:paraId="48F1B266">
      <w:r>
        <w:br w:type="page"/>
      </w:r>
    </w:p>
    <w:p w14:paraId="11400F8E">
      <w:pPr>
        <w:spacing w:before="360" w:after="240" w:line="360" w:lineRule="auto"/>
        <w:ind w:firstLine="0"/>
        <w:jc w:val="center"/>
        <w:outlineLvl w:val="0"/>
      </w:pPr>
      <w:bookmarkStart w:id="5" w:name="_Toc1514761437"/>
      <w:r>
        <w:rPr>
          <w:rFonts w:ascii="Times New Roman" w:hAnsi="Times New Roman" w:eastAsia="黑体"/>
          <w:b/>
          <w:sz w:val="32"/>
        </w:rPr>
        <w:t xml:space="preserve">第六章  </w:t>
      </w:r>
      <w:r>
        <w:rPr>
          <w:rFonts w:hint="eastAsia" w:eastAsia="黑体"/>
          <w:b/>
          <w:sz w:val="32"/>
          <w:lang w:eastAsia="zh-CN"/>
        </w:rPr>
        <w:t>响应文件</w:t>
      </w:r>
      <w:r>
        <w:rPr>
          <w:rFonts w:ascii="Times New Roman" w:hAnsi="Times New Roman" w:eastAsia="黑体"/>
          <w:b/>
          <w:sz w:val="32"/>
        </w:rPr>
        <w:t>格式</w:t>
      </w:r>
      <w:bookmarkEnd w:id="5"/>
    </w:p>
    <w:p w14:paraId="4B23DCE4">
      <w:pPr>
        <w:spacing w:before="240" w:after="120" w:line="360" w:lineRule="auto"/>
        <w:ind w:firstLine="0"/>
      </w:pPr>
      <w:r>
        <w:rPr>
          <w:rFonts w:ascii="Times New Roman" w:hAnsi="Times New Roman" w:eastAsia="黑体"/>
          <w:b/>
          <w:sz w:val="28"/>
        </w:rPr>
        <w:t>一、</w:t>
      </w:r>
      <w:r>
        <w:rPr>
          <w:rFonts w:hint="eastAsia" w:ascii="Times New Roman" w:hAnsi="Times New Roman" w:eastAsia="黑体"/>
          <w:b/>
          <w:sz w:val="28"/>
        </w:rPr>
        <w:t>报价函</w:t>
      </w:r>
    </w:p>
    <w:p w14:paraId="1C47CECE">
      <w:pPr>
        <w:keepNext w:val="0"/>
        <w:keepLines w:val="0"/>
        <w:pageBreakBefore w:val="0"/>
        <w:widowControl w:val="0"/>
        <w:kinsoku/>
        <w:wordWrap/>
        <w:overflowPunct/>
        <w:topLinePunct/>
        <w:autoSpaceDE/>
        <w:autoSpaceDN/>
        <w:bidi w:val="0"/>
        <w:snapToGrid/>
        <w:spacing w:after="0" w:line="560" w:lineRule="exact"/>
        <w:ind w:firstLine="560" w:firstLineChars="2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致：合肥</w:t>
      </w:r>
      <w:r>
        <w:rPr>
          <w:rFonts w:hint="eastAsia" w:ascii="仿宋_GB2312" w:hAnsi="仿宋_GB2312" w:eastAsia="仿宋_GB2312" w:cs="仿宋_GB2312"/>
          <w:sz w:val="28"/>
          <w:szCs w:val="28"/>
          <w:lang w:eastAsia="zh-CN"/>
        </w:rPr>
        <w:t>南方物流发展有限公司</w:t>
      </w:r>
    </w:p>
    <w:p w14:paraId="7EF03237">
      <w:pPr>
        <w:keepNext w:val="0"/>
        <w:keepLines w:val="0"/>
        <w:pageBreakBefore w:val="0"/>
        <w:widowControl w:val="0"/>
        <w:kinsoku/>
        <w:wordWrap/>
        <w:overflowPunct/>
        <w:topLinePunct/>
        <w:autoSpaceDE/>
        <w:autoSpaceDN/>
        <w:bidi w:val="0"/>
        <w:snapToGrid/>
        <w:spacing w:after="0"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项目名称：合肥南方物流发展有限公司宿舍家具租赁服务采购项目</w:t>
      </w:r>
    </w:p>
    <w:p w14:paraId="1E0786B4">
      <w:pPr>
        <w:keepNext w:val="0"/>
        <w:keepLines w:val="0"/>
        <w:pageBreakBefore w:val="0"/>
        <w:widowControl w:val="0"/>
        <w:kinsoku/>
        <w:wordWrap/>
        <w:overflowPunct/>
        <w:topLinePunct/>
        <w:autoSpaceDE/>
        <w:autoSpaceDN/>
        <w:bidi w:val="0"/>
        <w:snapToGrid/>
        <w:spacing w:after="0"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响应单位名称   ）研究了贵公司采购文件，理解采购文件的所有规定的条款，愿意遵守采购文件的要求，现报价如下：</w:t>
      </w:r>
    </w:p>
    <w:p w14:paraId="249202DC">
      <w:pPr>
        <w:keepNext w:val="0"/>
        <w:keepLines w:val="0"/>
        <w:pageBreakBefore w:val="0"/>
        <w:widowControl w:val="0"/>
        <w:kinsoku/>
        <w:wordWrap/>
        <w:overflowPunct/>
        <w:topLinePunct/>
        <w:autoSpaceDE/>
        <w:autoSpaceDN/>
        <w:bidi w:val="0"/>
        <w:snapToGrid/>
        <w:spacing w:after="0"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单间</w:t>
      </w:r>
      <w:r>
        <w:rPr>
          <w:rFonts w:hint="eastAsia" w:ascii="仿宋_GB2312" w:hAnsi="仿宋_GB2312" w:eastAsia="仿宋_GB2312" w:cs="仿宋_GB2312"/>
          <w:sz w:val="28"/>
          <w:szCs w:val="28"/>
          <w:lang w:val="en-US" w:eastAsia="zh-CN"/>
        </w:rPr>
        <w:t>2年租金单</w:t>
      </w:r>
      <w:r>
        <w:rPr>
          <w:rFonts w:hint="eastAsia" w:ascii="仿宋_GB2312" w:hAnsi="仿宋_GB2312" w:eastAsia="仿宋_GB2312" w:cs="仿宋_GB2312"/>
          <w:sz w:val="28"/>
          <w:szCs w:val="28"/>
        </w:rPr>
        <w:t>价</w:t>
      </w:r>
      <w:r>
        <w:rPr>
          <w:rFonts w:hint="eastAsia" w:ascii="仿宋_GB2312" w:hAnsi="仿宋_GB2312" w:eastAsia="仿宋_GB2312" w:cs="仿宋_GB2312"/>
          <w:sz w:val="28"/>
          <w:szCs w:val="28"/>
          <w:lang w:eastAsia="zh-CN"/>
        </w:rPr>
        <w:t>（含税）</w:t>
      </w:r>
      <w:r>
        <w:rPr>
          <w:rFonts w:hint="eastAsia" w:ascii="仿宋_GB2312" w:hAnsi="仿宋_GB2312" w:eastAsia="仿宋_GB2312" w:cs="仿宋_GB2312"/>
          <w:sz w:val="28"/>
          <w:szCs w:val="28"/>
        </w:rPr>
        <w:t xml:space="preserve">为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 xml:space="preserve"> 元（大写：         元）；</w:t>
      </w:r>
    </w:p>
    <w:p w14:paraId="09335D5A">
      <w:pPr>
        <w:keepNext w:val="0"/>
        <w:keepLines w:val="0"/>
        <w:pageBreakBefore w:val="0"/>
        <w:widowControl w:val="0"/>
        <w:kinsoku/>
        <w:wordWrap/>
        <w:overflowPunct/>
        <w:topLinePunct/>
        <w:autoSpaceDE/>
        <w:autoSpaceDN/>
        <w:bidi w:val="0"/>
        <w:snapToGrid/>
        <w:spacing w:after="0"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单间</w:t>
      </w:r>
      <w:r>
        <w:rPr>
          <w:rFonts w:hint="eastAsia" w:ascii="仿宋_GB2312" w:hAnsi="仿宋_GB2312" w:eastAsia="仿宋_GB2312" w:cs="仿宋_GB2312"/>
          <w:sz w:val="28"/>
          <w:szCs w:val="28"/>
          <w:lang w:val="en-US" w:eastAsia="zh-CN"/>
        </w:rPr>
        <w:t>2年租金单</w:t>
      </w:r>
      <w:r>
        <w:rPr>
          <w:rFonts w:hint="eastAsia" w:ascii="仿宋_GB2312" w:hAnsi="仿宋_GB2312" w:eastAsia="仿宋_GB2312" w:cs="仿宋_GB2312"/>
          <w:sz w:val="28"/>
          <w:szCs w:val="28"/>
        </w:rPr>
        <w:t>价</w:t>
      </w:r>
      <w:r>
        <w:rPr>
          <w:rFonts w:hint="eastAsia" w:ascii="仿宋_GB2312" w:hAnsi="仿宋_GB2312" w:eastAsia="仿宋_GB2312" w:cs="仿宋_GB2312"/>
          <w:sz w:val="28"/>
          <w:szCs w:val="28"/>
          <w:lang w:eastAsia="zh-CN"/>
        </w:rPr>
        <w:t>（不含税）</w:t>
      </w:r>
      <w:r>
        <w:rPr>
          <w:rFonts w:hint="eastAsia" w:ascii="仿宋_GB2312" w:hAnsi="仿宋_GB2312" w:eastAsia="仿宋_GB2312" w:cs="仿宋_GB2312"/>
          <w:sz w:val="28"/>
          <w:szCs w:val="28"/>
        </w:rPr>
        <w:t>为         元（大写：         元）；</w:t>
      </w:r>
    </w:p>
    <w:p w14:paraId="511B672E">
      <w:pPr>
        <w:keepNext w:val="0"/>
        <w:keepLines w:val="0"/>
        <w:pageBreakBefore w:val="0"/>
        <w:widowControl w:val="0"/>
        <w:kinsoku/>
        <w:wordWrap/>
        <w:overflowPunct/>
        <w:topLinePunct/>
        <w:autoSpaceDE/>
        <w:autoSpaceDN/>
        <w:bidi w:val="0"/>
        <w:snapToGrid/>
        <w:spacing w:after="0"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开具增值税专用发票，税率为     %，</w:t>
      </w:r>
      <w:r>
        <w:rPr>
          <w:rFonts w:hint="eastAsia" w:ascii="仿宋_GB2312" w:hAnsi="仿宋_GB2312" w:eastAsia="仿宋_GB2312" w:cs="仿宋_GB2312"/>
          <w:sz w:val="28"/>
          <w:szCs w:val="28"/>
          <w:lang w:eastAsia="zh-CN"/>
        </w:rPr>
        <w:t>单间</w:t>
      </w:r>
      <w:r>
        <w:rPr>
          <w:rFonts w:hint="eastAsia" w:ascii="仿宋_GB2312" w:hAnsi="仿宋_GB2312" w:eastAsia="仿宋_GB2312" w:cs="仿宋_GB2312"/>
          <w:sz w:val="28"/>
          <w:szCs w:val="28"/>
          <w:lang w:val="en-US" w:eastAsia="zh-CN"/>
        </w:rPr>
        <w:t>2年租金</w:t>
      </w:r>
      <w:r>
        <w:rPr>
          <w:rFonts w:hint="eastAsia" w:ascii="仿宋_GB2312" w:hAnsi="仿宋_GB2312" w:eastAsia="仿宋_GB2312" w:cs="仿宋_GB2312"/>
          <w:sz w:val="28"/>
          <w:szCs w:val="28"/>
        </w:rPr>
        <w:t xml:space="preserve">税额为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元</w:t>
      </w:r>
      <w:r>
        <w:rPr>
          <w:rFonts w:hint="eastAsia" w:ascii="仿宋_GB2312" w:hAnsi="仿宋_GB2312" w:eastAsia="仿宋_GB2312" w:cs="仿宋_GB2312"/>
          <w:sz w:val="28"/>
          <w:szCs w:val="28"/>
          <w:lang w:val="en-US" w:eastAsia="zh-CN"/>
        </w:rPr>
        <w:t>/间</w:t>
      </w:r>
      <w:r>
        <w:rPr>
          <w:rFonts w:hint="eastAsia" w:ascii="仿宋_GB2312" w:hAnsi="仿宋_GB2312" w:eastAsia="仿宋_GB2312" w:cs="仿宋_GB2312"/>
          <w:sz w:val="28"/>
          <w:szCs w:val="28"/>
        </w:rPr>
        <w:t>。</w:t>
      </w:r>
    </w:p>
    <w:p w14:paraId="7017D1D7">
      <w:pPr>
        <w:keepNext w:val="0"/>
        <w:keepLines w:val="0"/>
        <w:pageBreakBefore w:val="0"/>
        <w:widowControl w:val="0"/>
        <w:kinsoku/>
        <w:wordWrap/>
        <w:overflowPunct/>
        <w:topLinePunct/>
        <w:autoSpaceDE/>
        <w:autoSpaceDN/>
        <w:bidi w:val="0"/>
        <w:snapToGrid/>
        <w:spacing w:after="0"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含税</w:t>
      </w:r>
      <w:r>
        <w:rPr>
          <w:rFonts w:hint="eastAsia" w:ascii="仿宋_GB2312" w:hAnsi="仿宋_GB2312" w:eastAsia="仿宋_GB2312" w:cs="仿宋_GB2312"/>
          <w:sz w:val="28"/>
          <w:szCs w:val="28"/>
          <w:lang w:eastAsia="zh-CN"/>
        </w:rPr>
        <w:t>单</w:t>
      </w:r>
      <w:r>
        <w:rPr>
          <w:rFonts w:hint="eastAsia" w:ascii="仿宋_GB2312" w:hAnsi="仿宋_GB2312" w:eastAsia="仿宋_GB2312" w:cs="仿宋_GB2312"/>
          <w:sz w:val="28"/>
          <w:szCs w:val="28"/>
        </w:rPr>
        <w:t>价、不含税</w:t>
      </w:r>
      <w:r>
        <w:rPr>
          <w:rFonts w:hint="eastAsia" w:ascii="仿宋_GB2312" w:hAnsi="仿宋_GB2312" w:eastAsia="仿宋_GB2312" w:cs="仿宋_GB2312"/>
          <w:sz w:val="28"/>
          <w:szCs w:val="28"/>
          <w:lang w:eastAsia="zh-CN"/>
        </w:rPr>
        <w:t>单</w:t>
      </w:r>
      <w:r>
        <w:rPr>
          <w:rFonts w:hint="eastAsia" w:ascii="仿宋_GB2312" w:hAnsi="仿宋_GB2312" w:eastAsia="仿宋_GB2312" w:cs="仿宋_GB2312"/>
          <w:sz w:val="28"/>
          <w:szCs w:val="28"/>
        </w:rPr>
        <w:t>价和税额勾稽不一致的，以不含税</w:t>
      </w:r>
      <w:r>
        <w:rPr>
          <w:rFonts w:hint="eastAsia" w:ascii="仿宋_GB2312" w:hAnsi="仿宋_GB2312" w:eastAsia="仿宋_GB2312" w:cs="仿宋_GB2312"/>
          <w:sz w:val="28"/>
          <w:szCs w:val="28"/>
          <w:lang w:eastAsia="zh-CN"/>
        </w:rPr>
        <w:t>单</w:t>
      </w:r>
      <w:r>
        <w:rPr>
          <w:rFonts w:hint="eastAsia" w:ascii="仿宋_GB2312" w:hAnsi="仿宋_GB2312" w:eastAsia="仿宋_GB2312" w:cs="仿宋_GB2312"/>
          <w:sz w:val="28"/>
          <w:szCs w:val="28"/>
        </w:rPr>
        <w:t>价为准。大小写不一致的以大写为准。</w:t>
      </w:r>
    </w:p>
    <w:p w14:paraId="3CAD6437">
      <w:pPr>
        <w:keepNext w:val="0"/>
        <w:keepLines w:val="0"/>
        <w:pageBreakBefore w:val="0"/>
        <w:widowControl w:val="0"/>
        <w:kinsoku/>
        <w:wordWrap/>
        <w:overflowPunct/>
        <w:topLinePunct/>
        <w:autoSpaceDE/>
        <w:autoSpaceDN/>
        <w:bidi w:val="0"/>
        <w:snapToGrid/>
        <w:spacing w:after="0"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我方承认报价函及附件为我方响应文件的组成部分。我方已详细审查全部询比文件，包括询比补遗文件（如果有）。我们完全理解并同意放弃对这方面有不明及误解的权利。</w:t>
      </w:r>
    </w:p>
    <w:p w14:paraId="38591516">
      <w:pPr>
        <w:keepNext w:val="0"/>
        <w:keepLines w:val="0"/>
        <w:pageBreakBefore w:val="0"/>
        <w:widowControl w:val="0"/>
        <w:kinsoku/>
        <w:wordWrap/>
        <w:overflowPunct/>
        <w:topLinePunct/>
        <w:autoSpaceDE/>
        <w:autoSpaceDN/>
        <w:bidi w:val="0"/>
        <w:snapToGrid/>
        <w:spacing w:after="0"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如果我方有幸成为中标人，愿意承担采购人委托的工作任务。如若违反，采购人有权取消我方中标资格。同时我方承诺在服务中按递交的响应文件的承诺执行。</w:t>
      </w:r>
    </w:p>
    <w:p w14:paraId="56E0426A">
      <w:pPr>
        <w:keepNext w:val="0"/>
        <w:keepLines w:val="0"/>
        <w:pageBreakBefore w:val="0"/>
        <w:widowControl w:val="0"/>
        <w:kinsoku/>
        <w:wordWrap/>
        <w:overflowPunct/>
        <w:topLinePunct/>
        <w:autoSpaceDE/>
        <w:autoSpaceDN/>
        <w:bidi w:val="0"/>
        <w:snapToGrid/>
        <w:spacing w:after="0"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响应单位（公章）：                                  </w:t>
      </w:r>
    </w:p>
    <w:p w14:paraId="42A3D92D">
      <w:pPr>
        <w:keepNext w:val="0"/>
        <w:keepLines w:val="0"/>
        <w:pageBreakBefore w:val="0"/>
        <w:widowControl w:val="0"/>
        <w:kinsoku/>
        <w:wordWrap/>
        <w:overflowPunct/>
        <w:topLinePunct/>
        <w:autoSpaceDE/>
        <w:autoSpaceDN/>
        <w:bidi w:val="0"/>
        <w:snapToGrid/>
        <w:spacing w:after="0" w:line="560" w:lineRule="exact"/>
        <w:ind w:firstLine="560" w:firstLineChars="200"/>
        <w:rPr>
          <w:rFonts w:ascii="Times New Roman" w:hAnsi="Times New Roman" w:eastAsia="宋体"/>
          <w:b w:val="0"/>
          <w:sz w:val="24"/>
        </w:rPr>
      </w:pPr>
      <w:r>
        <w:rPr>
          <w:rFonts w:hint="eastAsia" w:ascii="仿宋_GB2312" w:hAnsi="仿宋_GB2312" w:eastAsia="仿宋_GB2312" w:cs="仿宋_GB2312"/>
          <w:sz w:val="28"/>
          <w:szCs w:val="28"/>
        </w:rPr>
        <w:t>日期：    年    月    日</w:t>
      </w:r>
      <w:r>
        <w:rPr>
          <w:rFonts w:ascii="Times New Roman" w:hAnsi="Times New Roman" w:eastAsia="宋体"/>
          <w:b w:val="0"/>
          <w:sz w:val="24"/>
        </w:rPr>
        <w:br w:type="page"/>
      </w:r>
    </w:p>
    <w:p w14:paraId="5D2EDD36">
      <w:pPr>
        <w:pStyle w:val="2"/>
        <w:rPr>
          <w:rFonts w:hint="eastAsia" w:ascii="仿宋_GB2312" w:hAnsi="仿宋_GB2312" w:eastAsia="仿宋_GB2312" w:cs="仿宋_GB2312"/>
          <w:sz w:val="28"/>
          <w:szCs w:val="28"/>
        </w:rPr>
      </w:pPr>
    </w:p>
    <w:p w14:paraId="2BB45B4F">
      <w:pPr>
        <w:numPr>
          <w:ilvl w:val="0"/>
          <w:numId w:val="7"/>
        </w:numPr>
        <w:spacing w:line="560" w:lineRule="exact"/>
        <w:ind w:firstLine="640" w:firstLineChars="200"/>
        <w:jc w:val="both"/>
        <w:outlineLvl w:val="2"/>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营业执照复印件/影印件</w:t>
      </w:r>
    </w:p>
    <w:p w14:paraId="7E6282D8">
      <w:pPr>
        <w:pStyle w:val="35"/>
        <w:widowControl w:val="0"/>
        <w:numPr>
          <w:ilvl w:val="0"/>
          <w:numId w:val="0"/>
        </w:numPr>
        <w:autoSpaceDE w:val="0"/>
        <w:autoSpaceDN w:val="0"/>
        <w:adjustRightInd w:val="0"/>
        <w:spacing w:after="0" w:line="360" w:lineRule="auto"/>
        <w:ind w:right="-24" w:rightChars="-10"/>
        <w:jc w:val="both"/>
        <w:rPr>
          <w:rFonts w:hint="default"/>
          <w:lang w:val="en-US" w:eastAsia="zh-CN"/>
        </w:rPr>
      </w:pPr>
    </w:p>
    <w:p w14:paraId="5D2FE117">
      <w:pPr>
        <w:pStyle w:val="35"/>
        <w:widowControl w:val="0"/>
        <w:numPr>
          <w:ilvl w:val="0"/>
          <w:numId w:val="0"/>
        </w:numPr>
        <w:autoSpaceDE w:val="0"/>
        <w:autoSpaceDN w:val="0"/>
        <w:adjustRightInd w:val="0"/>
        <w:spacing w:after="0" w:line="360" w:lineRule="auto"/>
        <w:ind w:right="-24" w:rightChars="-10"/>
        <w:jc w:val="both"/>
        <w:rPr>
          <w:rFonts w:hint="default"/>
          <w:lang w:val="en-US" w:eastAsia="zh-CN"/>
        </w:rPr>
      </w:pPr>
    </w:p>
    <w:p w14:paraId="22C9F666">
      <w:pPr>
        <w:pStyle w:val="35"/>
        <w:widowControl w:val="0"/>
        <w:numPr>
          <w:ilvl w:val="0"/>
          <w:numId w:val="0"/>
        </w:numPr>
        <w:autoSpaceDE w:val="0"/>
        <w:autoSpaceDN w:val="0"/>
        <w:adjustRightInd w:val="0"/>
        <w:spacing w:after="0" w:line="360" w:lineRule="auto"/>
        <w:ind w:right="-24" w:rightChars="-10"/>
        <w:jc w:val="both"/>
        <w:rPr>
          <w:rFonts w:hint="default"/>
          <w:lang w:val="en-US" w:eastAsia="zh-CN"/>
        </w:rPr>
      </w:pPr>
    </w:p>
    <w:p w14:paraId="5E097BC5">
      <w:pPr>
        <w:pStyle w:val="35"/>
        <w:widowControl w:val="0"/>
        <w:numPr>
          <w:ilvl w:val="0"/>
          <w:numId w:val="0"/>
        </w:numPr>
        <w:autoSpaceDE w:val="0"/>
        <w:autoSpaceDN w:val="0"/>
        <w:adjustRightInd w:val="0"/>
        <w:spacing w:after="0" w:line="360" w:lineRule="auto"/>
        <w:ind w:right="-24" w:rightChars="-10"/>
        <w:jc w:val="both"/>
        <w:rPr>
          <w:rFonts w:hint="default"/>
          <w:lang w:val="en-US" w:eastAsia="zh-CN"/>
        </w:rPr>
      </w:pPr>
    </w:p>
    <w:p w14:paraId="0D1E7627">
      <w:pPr>
        <w:pStyle w:val="35"/>
        <w:widowControl w:val="0"/>
        <w:numPr>
          <w:ilvl w:val="0"/>
          <w:numId w:val="0"/>
        </w:numPr>
        <w:autoSpaceDE w:val="0"/>
        <w:autoSpaceDN w:val="0"/>
        <w:adjustRightInd w:val="0"/>
        <w:spacing w:after="0" w:line="360" w:lineRule="auto"/>
        <w:ind w:right="-24" w:rightChars="-10"/>
        <w:jc w:val="both"/>
        <w:rPr>
          <w:rFonts w:hint="default"/>
          <w:lang w:val="en-US" w:eastAsia="zh-CN"/>
        </w:rPr>
      </w:pPr>
    </w:p>
    <w:p w14:paraId="2DFE0D68">
      <w:pPr>
        <w:pStyle w:val="35"/>
        <w:widowControl w:val="0"/>
        <w:numPr>
          <w:ilvl w:val="0"/>
          <w:numId w:val="0"/>
        </w:numPr>
        <w:autoSpaceDE w:val="0"/>
        <w:autoSpaceDN w:val="0"/>
        <w:adjustRightInd w:val="0"/>
        <w:spacing w:after="0" w:line="360" w:lineRule="auto"/>
        <w:ind w:right="-24" w:rightChars="-10"/>
        <w:jc w:val="both"/>
        <w:rPr>
          <w:rFonts w:hint="default"/>
          <w:lang w:val="en-US" w:eastAsia="zh-CN"/>
        </w:rPr>
      </w:pPr>
    </w:p>
    <w:p w14:paraId="5268A80C">
      <w:pPr>
        <w:pStyle w:val="35"/>
        <w:widowControl w:val="0"/>
        <w:numPr>
          <w:ilvl w:val="0"/>
          <w:numId w:val="0"/>
        </w:numPr>
        <w:autoSpaceDE w:val="0"/>
        <w:autoSpaceDN w:val="0"/>
        <w:adjustRightInd w:val="0"/>
        <w:spacing w:after="0" w:line="360" w:lineRule="auto"/>
        <w:ind w:right="-24" w:rightChars="-10"/>
        <w:jc w:val="both"/>
        <w:rPr>
          <w:rFonts w:hint="default"/>
          <w:lang w:val="en-US" w:eastAsia="zh-CN"/>
        </w:rPr>
      </w:pPr>
    </w:p>
    <w:p w14:paraId="6CFCD61E">
      <w:pPr>
        <w:spacing w:line="560" w:lineRule="exact"/>
        <w:ind w:firstLine="643"/>
        <w:outlineLvl w:val="2"/>
        <w:rPr>
          <w:rFonts w:hint="eastAsia" w:ascii="黑体" w:hAnsi="黑体" w:eastAsia="黑体" w:cs="黑体"/>
          <w:bCs/>
          <w:sz w:val="32"/>
          <w:szCs w:val="32"/>
        </w:rPr>
      </w:pPr>
      <w:r>
        <w:rPr>
          <w:rFonts w:hint="eastAsia" w:ascii="黑体" w:hAnsi="黑体" w:eastAsia="黑体" w:cs="黑体"/>
          <w:bCs/>
          <w:sz w:val="32"/>
          <w:szCs w:val="32"/>
          <w:lang w:val="en-US" w:eastAsia="zh-CN"/>
        </w:rPr>
        <w:t>三</w:t>
      </w:r>
      <w:r>
        <w:rPr>
          <w:rFonts w:hint="eastAsia" w:ascii="黑体" w:hAnsi="黑体" w:eastAsia="黑体" w:cs="黑体"/>
          <w:bCs/>
          <w:sz w:val="32"/>
          <w:szCs w:val="32"/>
        </w:rPr>
        <w:t>、法定代表人身份证明</w:t>
      </w:r>
      <w:r>
        <w:rPr>
          <w:rFonts w:hint="eastAsia" w:ascii="黑体" w:hAnsi="黑体" w:eastAsia="黑体" w:cs="黑体"/>
          <w:bCs/>
          <w:sz w:val="32"/>
          <w:szCs w:val="32"/>
          <w:lang w:eastAsia="zh-CN"/>
        </w:rPr>
        <w:t>、</w:t>
      </w:r>
      <w:r>
        <w:rPr>
          <w:rFonts w:hint="eastAsia" w:ascii="黑体" w:hAnsi="黑体" w:eastAsia="黑体" w:cs="黑体"/>
          <w:bCs/>
          <w:sz w:val="32"/>
          <w:szCs w:val="32"/>
        </w:rPr>
        <w:t>授权委托书</w:t>
      </w:r>
      <w:r>
        <w:rPr>
          <w:rFonts w:hint="eastAsia" w:ascii="黑体" w:hAnsi="黑体" w:eastAsia="黑体" w:cs="黑体"/>
          <w:bCs/>
          <w:sz w:val="32"/>
          <w:szCs w:val="32"/>
          <w:lang w:eastAsia="zh-CN"/>
        </w:rPr>
        <w:t>（</w:t>
      </w:r>
      <w:r>
        <w:rPr>
          <w:rFonts w:hint="eastAsia" w:ascii="黑体" w:hAnsi="黑体" w:eastAsia="黑体" w:cs="黑体"/>
          <w:bCs/>
          <w:sz w:val="32"/>
          <w:szCs w:val="32"/>
          <w:lang w:val="en-US" w:eastAsia="zh-CN"/>
        </w:rPr>
        <w:t>如适用</w:t>
      </w:r>
      <w:r>
        <w:rPr>
          <w:rFonts w:hint="eastAsia" w:ascii="黑体" w:hAnsi="黑体" w:eastAsia="黑体" w:cs="黑体"/>
          <w:bCs/>
          <w:sz w:val="32"/>
          <w:szCs w:val="32"/>
          <w:lang w:eastAsia="zh-CN"/>
        </w:rPr>
        <w:t>）</w:t>
      </w:r>
    </w:p>
    <w:p w14:paraId="021390DF">
      <w:pPr>
        <w:spacing w:line="500" w:lineRule="atLeast"/>
        <w:jc w:val="center"/>
        <w:rPr>
          <w:rFonts w:hint="eastAsia" w:ascii="Times New Roman" w:hAnsi="Times New Roman" w:eastAsia="黑体"/>
          <w:bCs/>
          <w:sz w:val="32"/>
          <w:szCs w:val="32"/>
          <w:lang w:val="en-US" w:eastAsia="zh-CN"/>
        </w:rPr>
      </w:pPr>
      <w:bookmarkStart w:id="6" w:name="_Toc20803_WPSOffice_Level2"/>
      <w:bookmarkStart w:id="7" w:name="_Toc5153_WPSOffice_Level2"/>
    </w:p>
    <w:p w14:paraId="6B5AF93E">
      <w:pPr>
        <w:spacing w:line="500" w:lineRule="atLeast"/>
        <w:jc w:val="center"/>
        <w:rPr>
          <w:rFonts w:ascii="Times New Roman" w:hAnsi="Times New Roman" w:eastAsia="黑体"/>
          <w:sz w:val="32"/>
          <w:szCs w:val="32"/>
        </w:rPr>
      </w:pPr>
      <w:r>
        <w:rPr>
          <w:rFonts w:hint="eastAsia" w:ascii="Times New Roman" w:hAnsi="Times New Roman" w:eastAsia="黑体"/>
          <w:bCs/>
          <w:sz w:val="32"/>
          <w:szCs w:val="32"/>
          <w:lang w:val="en-US" w:eastAsia="zh-CN"/>
        </w:rPr>
        <w:t>3</w:t>
      </w:r>
      <w:r>
        <w:rPr>
          <w:rFonts w:ascii="Times New Roman" w:hAnsi="Times New Roman" w:eastAsia="黑体"/>
          <w:bCs/>
          <w:sz w:val="32"/>
          <w:szCs w:val="32"/>
        </w:rPr>
        <w:t>-1 法定代表人身份证明</w:t>
      </w:r>
      <w:bookmarkEnd w:id="6"/>
      <w:bookmarkEnd w:id="7"/>
    </w:p>
    <w:p w14:paraId="5FC6074F">
      <w:pPr>
        <w:spacing w:line="500" w:lineRule="atLeast"/>
        <w:rPr>
          <w:rFonts w:ascii="Times New Roman" w:hAnsi="Times New Roman"/>
          <w:sz w:val="20"/>
          <w:szCs w:val="20"/>
        </w:rPr>
      </w:pPr>
    </w:p>
    <w:p w14:paraId="45FDAC14">
      <w:pPr>
        <w:topLinePunct/>
        <w:spacing w:line="500" w:lineRule="atLeas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trike w:val="0"/>
          <w:dstrike w:val="0"/>
          <w:sz w:val="28"/>
          <w:szCs w:val="28"/>
          <w:u w:val="single"/>
        </w:rPr>
        <w:t xml:space="preserve">          </w:t>
      </w:r>
      <w:r>
        <w:rPr>
          <w:rFonts w:hint="eastAsia" w:ascii="仿宋_GB2312" w:hAnsi="仿宋_GB2312" w:eastAsia="仿宋_GB2312" w:cs="仿宋_GB2312"/>
          <w:sz w:val="28"/>
          <w:szCs w:val="28"/>
        </w:rPr>
        <w:t>同志，在我单位担任</w:t>
      </w:r>
      <w:r>
        <w:rPr>
          <w:rFonts w:hint="eastAsia" w:ascii="仿宋_GB2312" w:hAnsi="仿宋_GB2312" w:eastAsia="仿宋_GB2312" w:cs="仿宋_GB2312"/>
          <w:strike w:val="0"/>
          <w:dstrike w:val="0"/>
          <w:sz w:val="28"/>
          <w:szCs w:val="28"/>
          <w:u w:val="single"/>
        </w:rPr>
        <w:t xml:space="preserve">          </w:t>
      </w:r>
      <w:r>
        <w:rPr>
          <w:rFonts w:hint="eastAsia" w:ascii="仿宋_GB2312" w:hAnsi="仿宋_GB2312" w:eastAsia="仿宋_GB2312" w:cs="仿宋_GB2312"/>
          <w:sz w:val="28"/>
          <w:szCs w:val="28"/>
        </w:rPr>
        <w:t>职务，特此证明。</w:t>
      </w:r>
    </w:p>
    <w:p w14:paraId="2026CA42">
      <w:pPr>
        <w:topLinePunct/>
        <w:spacing w:line="500" w:lineRule="atLeas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特此证明。</w:t>
      </w:r>
    </w:p>
    <w:p w14:paraId="31162D02">
      <w:pPr>
        <w:topLinePunct/>
        <w:spacing w:line="500" w:lineRule="atLeast"/>
        <w:ind w:firstLine="562"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法定代表人身份证正反面复印件/影印件粘贴如下：</w:t>
      </w:r>
    </w:p>
    <w:p w14:paraId="2C15C0DC">
      <w:pPr>
        <w:spacing w:line="500" w:lineRule="atLeast"/>
        <w:rPr>
          <w:rFonts w:hint="eastAsia" w:ascii="仿宋_GB2312" w:hAnsi="仿宋_GB2312" w:eastAsia="仿宋_GB2312" w:cs="仿宋_GB2312"/>
          <w:sz w:val="28"/>
          <w:szCs w:val="28"/>
        </w:rPr>
      </w:pPr>
    </w:p>
    <w:p w14:paraId="3AE3072B">
      <w:pPr>
        <w:spacing w:line="500" w:lineRule="atLeast"/>
        <w:rPr>
          <w:rFonts w:hint="eastAsia" w:ascii="仿宋_GB2312" w:hAnsi="仿宋_GB2312" w:eastAsia="仿宋_GB2312" w:cs="仿宋_GB2312"/>
          <w:sz w:val="28"/>
          <w:szCs w:val="28"/>
        </w:rPr>
      </w:pPr>
    </w:p>
    <w:p w14:paraId="6E3C641F">
      <w:pPr>
        <w:keepNext w:val="0"/>
        <w:keepLines w:val="0"/>
        <w:pageBreakBefore w:val="0"/>
        <w:widowControl w:val="0"/>
        <w:kinsoku/>
        <w:wordWrap/>
        <w:overflowPunct/>
        <w:topLinePunct w:val="0"/>
        <w:autoSpaceDE/>
        <w:autoSpaceDN/>
        <w:bidi w:val="0"/>
        <w:adjustRightInd w:val="0"/>
        <w:snapToGrid w:val="0"/>
        <w:spacing w:line="800" w:lineRule="exact"/>
        <w:ind w:left="0" w:leftChars="0" w:firstLine="4480" w:firstLineChars="16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响应单位</w:t>
      </w:r>
      <w:r>
        <w:rPr>
          <w:rFonts w:hint="eastAsia" w:ascii="仿宋_GB2312" w:hAnsi="仿宋_GB2312" w:eastAsia="仿宋_GB2312" w:cs="仿宋_GB2312"/>
          <w:sz w:val="28"/>
          <w:szCs w:val="28"/>
        </w:rPr>
        <w:t xml:space="preserve">全称（公章）：                      </w:t>
      </w:r>
    </w:p>
    <w:p w14:paraId="7B14EE09">
      <w:pPr>
        <w:keepNext w:val="0"/>
        <w:keepLines w:val="0"/>
        <w:pageBreakBefore w:val="0"/>
        <w:widowControl w:val="0"/>
        <w:tabs>
          <w:tab w:val="left" w:pos="2915"/>
        </w:tabs>
        <w:kinsoku/>
        <w:wordWrap/>
        <w:overflowPunct/>
        <w:topLinePunct w:val="0"/>
        <w:autoSpaceDE/>
        <w:autoSpaceDN/>
        <w:bidi w:val="0"/>
        <w:adjustRightInd w:val="0"/>
        <w:snapToGrid w:val="0"/>
        <w:spacing w:line="800" w:lineRule="exact"/>
        <w:ind w:left="0" w:leftChars="0" w:firstLine="4480" w:firstLineChars="16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法定代表人签字或签章：                          </w:t>
      </w:r>
    </w:p>
    <w:p w14:paraId="7A99038F">
      <w:pPr>
        <w:keepNext w:val="0"/>
        <w:keepLines w:val="0"/>
        <w:pageBreakBefore w:val="0"/>
        <w:widowControl w:val="0"/>
        <w:kinsoku/>
        <w:wordWrap/>
        <w:overflowPunct/>
        <w:topLinePunct w:val="0"/>
        <w:autoSpaceDE/>
        <w:autoSpaceDN/>
        <w:bidi w:val="0"/>
        <w:adjustRightInd w:val="0"/>
        <w:snapToGrid w:val="0"/>
        <w:spacing w:line="800" w:lineRule="exact"/>
        <w:ind w:left="0" w:leftChars="0" w:firstLine="4480" w:firstLineChars="1600"/>
        <w:textAlignment w:val="auto"/>
        <w:rPr>
          <w:rFonts w:hint="eastAsia" w:ascii="黑体" w:hAnsi="黑体" w:eastAsia="黑体" w:cs="黑体"/>
          <w:bCs/>
          <w:sz w:val="32"/>
          <w:szCs w:val="32"/>
          <w:lang w:val="en-US" w:eastAsia="zh-CN"/>
        </w:rPr>
      </w:pPr>
      <w:r>
        <w:rPr>
          <w:rFonts w:hint="eastAsia" w:ascii="仿宋_GB2312" w:hAnsi="仿宋_GB2312" w:eastAsia="仿宋_GB2312" w:cs="仿宋_GB2312"/>
          <w:sz w:val="28"/>
          <w:szCs w:val="28"/>
        </w:rPr>
        <w:t xml:space="preserve">日期：   年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 xml:space="preserve">  日</w:t>
      </w:r>
    </w:p>
    <w:p w14:paraId="111B9D47">
      <w:pPr>
        <w:spacing w:line="240" w:lineRule="auto"/>
        <w:ind w:left="0" w:leftChars="0" w:firstLine="0" w:firstLineChars="0"/>
        <w:jc w:val="center"/>
        <w:rPr>
          <w:rFonts w:ascii="Times New Roman" w:hAnsi="Times New Roman" w:eastAsia="黑体"/>
          <w:sz w:val="24"/>
        </w:rPr>
      </w:pPr>
      <w:r>
        <w:rPr>
          <w:rFonts w:hint="default" w:ascii="Times New Roman" w:hAnsi="Times New Roman" w:eastAsia="黑体" w:cstheme="minorBidi"/>
          <w:bCs/>
          <w:sz w:val="32"/>
          <w:szCs w:val="32"/>
          <w:lang w:val="en-US" w:eastAsia="zh-CN"/>
        </w:rPr>
        <w:t>3</w:t>
      </w:r>
      <w:r>
        <w:rPr>
          <w:rFonts w:hint="default" w:ascii="Times New Roman" w:hAnsi="Times New Roman" w:eastAsia="黑体" w:cstheme="minorBidi"/>
          <w:bCs/>
          <w:sz w:val="32"/>
          <w:szCs w:val="32"/>
        </w:rPr>
        <w:t xml:space="preserve">-2 </w:t>
      </w:r>
      <w:r>
        <w:rPr>
          <w:rFonts w:hint="eastAsia" w:ascii="黑体" w:hAnsi="黑体" w:eastAsia="黑体" w:cs="黑体"/>
          <w:sz w:val="32"/>
          <w:szCs w:val="32"/>
        </w:rPr>
        <w:t>授权委托书</w:t>
      </w:r>
      <w:r>
        <w:rPr>
          <w:rFonts w:hint="eastAsia" w:ascii="黑体" w:hAnsi="黑体" w:eastAsia="黑体" w:cs="黑体"/>
          <w:bCs/>
          <w:sz w:val="32"/>
          <w:szCs w:val="32"/>
          <w:lang w:eastAsia="zh-CN"/>
        </w:rPr>
        <w:t>（</w:t>
      </w:r>
      <w:r>
        <w:rPr>
          <w:rFonts w:hint="eastAsia" w:ascii="黑体" w:hAnsi="黑体" w:eastAsia="黑体" w:cs="黑体"/>
          <w:bCs/>
          <w:sz w:val="32"/>
          <w:szCs w:val="32"/>
          <w:lang w:val="en-US" w:eastAsia="zh-CN"/>
        </w:rPr>
        <w:t>如适用</w:t>
      </w:r>
      <w:r>
        <w:rPr>
          <w:rFonts w:hint="eastAsia" w:ascii="黑体" w:hAnsi="黑体" w:eastAsia="黑体" w:cs="黑体"/>
          <w:bCs/>
          <w:sz w:val="32"/>
          <w:szCs w:val="32"/>
          <w:lang w:eastAsia="zh-CN"/>
        </w:rPr>
        <w:t>）</w:t>
      </w:r>
    </w:p>
    <w:p w14:paraId="57C06CE3">
      <w:pPr>
        <w:pStyle w:val="25"/>
        <w:keepNext w:val="0"/>
        <w:keepLines w:val="0"/>
        <w:pageBreakBefore w:val="0"/>
        <w:widowControl w:val="0"/>
        <w:kinsoku/>
        <w:wordWrap/>
        <w:overflowPunct/>
        <w:autoSpaceDE/>
        <w:autoSpaceDN/>
        <w:bidi w:val="0"/>
        <w:snapToGrid/>
        <w:spacing w:line="560" w:lineRule="exact"/>
        <w:rPr>
          <w:rFonts w:hint="eastAsia" w:ascii="仿宋_GB2312" w:hAnsi="仿宋_GB2312" w:eastAsia="仿宋_GB2312" w:cs="仿宋_GB2312"/>
          <w:sz w:val="28"/>
          <w:szCs w:val="28"/>
          <w:u w:val="none"/>
          <w:lang w:eastAsia="zh-CN"/>
        </w:rPr>
      </w:pP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val="en-US" w:eastAsia="zh-CN"/>
        </w:rPr>
        <w:t xml:space="preserve">合肥南方物流发展有限公司 </w:t>
      </w:r>
      <w:r>
        <w:rPr>
          <w:rFonts w:hint="eastAsia" w:ascii="仿宋_GB2312" w:hAnsi="仿宋_GB2312" w:eastAsia="仿宋_GB2312" w:cs="仿宋_GB2312"/>
          <w:sz w:val="28"/>
          <w:szCs w:val="28"/>
          <w:u w:val="none"/>
          <w:lang w:eastAsia="zh-CN"/>
        </w:rPr>
        <w:t>：</w:t>
      </w:r>
    </w:p>
    <w:p w14:paraId="4921BA5B">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本人</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eastAsia="zh-CN"/>
        </w:rPr>
        <w:t>（</w:t>
      </w:r>
      <w:r>
        <w:rPr>
          <w:rFonts w:hint="eastAsia" w:ascii="仿宋_GB2312" w:hAnsi="仿宋_GB2312" w:eastAsia="仿宋_GB2312" w:cs="仿宋_GB2312"/>
          <w:sz w:val="28"/>
          <w:szCs w:val="28"/>
          <w:u w:val="single"/>
        </w:rPr>
        <w:t>姓名</w:t>
      </w:r>
      <w:r>
        <w:rPr>
          <w:rFonts w:hint="eastAsia" w:ascii="仿宋_GB2312" w:hAnsi="仿宋_GB2312" w:eastAsia="仿宋_GB2312" w:cs="仿宋_GB2312"/>
          <w:sz w:val="28"/>
          <w:szCs w:val="28"/>
          <w:u w:val="single"/>
          <w:lang w:eastAsia="zh-CN"/>
        </w:rPr>
        <w:t>）</w:t>
      </w:r>
      <w:r>
        <w:rPr>
          <w:rFonts w:hint="eastAsia" w:ascii="仿宋_GB2312" w:hAnsi="仿宋_GB2312" w:eastAsia="仿宋_GB2312" w:cs="仿宋_GB2312"/>
          <w:sz w:val="28"/>
          <w:szCs w:val="28"/>
        </w:rPr>
        <w:t>系</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eastAsia="zh-CN"/>
        </w:rPr>
        <w:t>（</w:t>
      </w:r>
      <w:r>
        <w:rPr>
          <w:rFonts w:hint="eastAsia" w:ascii="仿宋_GB2312" w:hAnsi="仿宋_GB2312" w:eastAsia="仿宋_GB2312" w:cs="仿宋_GB2312"/>
          <w:sz w:val="28"/>
          <w:szCs w:val="28"/>
          <w:u w:val="single"/>
          <w:lang w:val="en-US" w:eastAsia="zh-CN"/>
        </w:rPr>
        <w:t>响应单位全称</w:t>
      </w:r>
      <w:r>
        <w:rPr>
          <w:rFonts w:hint="eastAsia" w:ascii="仿宋_GB2312" w:hAnsi="仿宋_GB2312" w:eastAsia="仿宋_GB2312" w:cs="仿宋_GB2312"/>
          <w:sz w:val="28"/>
          <w:szCs w:val="28"/>
          <w:u w:val="single"/>
          <w:lang w:eastAsia="zh-CN"/>
        </w:rPr>
        <w:t>）</w:t>
      </w:r>
      <w:r>
        <w:rPr>
          <w:rFonts w:hint="eastAsia" w:ascii="仿宋_GB2312" w:hAnsi="仿宋_GB2312" w:eastAsia="仿宋_GB2312" w:cs="仿宋_GB2312"/>
          <w:sz w:val="28"/>
          <w:szCs w:val="28"/>
        </w:rPr>
        <w:t>的法定代表人，现委托</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eastAsia="zh-CN"/>
        </w:rPr>
        <w:t>（</w:t>
      </w:r>
      <w:r>
        <w:rPr>
          <w:rFonts w:hint="eastAsia" w:ascii="仿宋_GB2312" w:hAnsi="仿宋_GB2312" w:eastAsia="仿宋_GB2312" w:cs="仿宋_GB2312"/>
          <w:sz w:val="28"/>
          <w:szCs w:val="28"/>
          <w:u w:val="single"/>
        </w:rPr>
        <w:t>姓名</w:t>
      </w:r>
      <w:r>
        <w:rPr>
          <w:rFonts w:hint="eastAsia" w:ascii="仿宋_GB2312" w:hAnsi="仿宋_GB2312" w:eastAsia="仿宋_GB2312" w:cs="仿宋_GB2312"/>
          <w:sz w:val="28"/>
          <w:szCs w:val="28"/>
          <w:u w:val="single"/>
          <w:lang w:eastAsia="zh-CN"/>
        </w:rPr>
        <w:t>）</w:t>
      </w:r>
      <w:r>
        <w:rPr>
          <w:rFonts w:hint="eastAsia" w:ascii="仿宋_GB2312" w:hAnsi="仿宋_GB2312" w:eastAsia="仿宋_GB2312" w:cs="仿宋_GB2312"/>
          <w:sz w:val="28"/>
          <w:szCs w:val="28"/>
        </w:rPr>
        <w:t>为我方代理人。代理人根据授权，以我方名义签署、澄清、说明、补正、递交、撤回、修改</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eastAsia="zh-CN"/>
        </w:rPr>
        <w:t>合肥南方物流发展有限公司宿舍家具租赁服务采购项目</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u w:val="none"/>
          <w:lang w:val="en-US" w:eastAsia="zh-CN"/>
        </w:rPr>
        <w:t>响应文件</w:t>
      </w:r>
      <w:r>
        <w:rPr>
          <w:rFonts w:hint="eastAsia" w:ascii="仿宋_GB2312" w:hAnsi="仿宋_GB2312" w:eastAsia="仿宋_GB2312" w:cs="仿宋_GB2312"/>
          <w:sz w:val="28"/>
          <w:szCs w:val="28"/>
        </w:rPr>
        <w:t>、签订合同和处理有关事宜，其法律后果由我方承担。</w:t>
      </w:r>
    </w:p>
    <w:p w14:paraId="3EA06FE6">
      <w:pPr>
        <w:keepNext w:val="0"/>
        <w:keepLines w:val="0"/>
        <w:pageBreakBefore w:val="0"/>
        <w:widowControl w:val="0"/>
        <w:kinsoku/>
        <w:wordWrap/>
        <w:overflowPunct/>
        <w:autoSpaceDE/>
        <w:autoSpaceDN/>
        <w:bidi w:val="0"/>
        <w:snapToGrid/>
        <w:spacing w:line="5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委托期限：</w:t>
      </w:r>
      <w:r>
        <w:rPr>
          <w:rFonts w:hint="eastAsia" w:ascii="仿宋_GB2312" w:hAnsi="仿宋_GB2312" w:eastAsia="仿宋_GB2312" w:cs="仿宋_GB2312"/>
          <w:sz w:val="28"/>
          <w:szCs w:val="28"/>
          <w:u w:val="single"/>
        </w:rPr>
        <w:t>自授权委托之日起至签订合同之日止</w:t>
      </w:r>
      <w:r>
        <w:rPr>
          <w:rFonts w:hint="eastAsia" w:ascii="仿宋_GB2312" w:hAnsi="仿宋_GB2312" w:eastAsia="仿宋_GB2312" w:cs="仿宋_GB2312"/>
          <w:sz w:val="28"/>
          <w:szCs w:val="28"/>
        </w:rPr>
        <w:t>。</w:t>
      </w:r>
    </w:p>
    <w:p w14:paraId="552821C1">
      <w:pPr>
        <w:keepNext w:val="0"/>
        <w:keepLines w:val="0"/>
        <w:pageBreakBefore w:val="0"/>
        <w:widowControl w:val="0"/>
        <w:kinsoku/>
        <w:wordWrap/>
        <w:overflowPunct/>
        <w:autoSpaceDE/>
        <w:autoSpaceDN/>
        <w:bidi w:val="0"/>
        <w:snapToGrid/>
        <w:spacing w:line="560" w:lineRule="exact"/>
        <w:ind w:firstLine="56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8"/>
          <w:szCs w:val="28"/>
        </w:rPr>
        <w:t>代理人无转委托权。</w:t>
      </w:r>
    </w:p>
    <w:p w14:paraId="2437A479">
      <w:pPr>
        <w:keepNext w:val="0"/>
        <w:keepLines w:val="0"/>
        <w:pageBreakBefore w:val="0"/>
        <w:widowControl w:val="0"/>
        <w:kinsoku/>
        <w:wordWrap/>
        <w:overflowPunct/>
        <w:autoSpaceDE/>
        <w:autoSpaceDN/>
        <w:bidi w:val="0"/>
        <w:adjustRightInd w:val="0"/>
        <w:snapToGrid w:val="0"/>
        <w:spacing w:line="56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授权代理人身份证正反面复印件/影印件粘贴如下：</w:t>
      </w:r>
    </w:p>
    <w:p w14:paraId="2651DE9D">
      <w:pPr>
        <w:keepNext w:val="0"/>
        <w:keepLines w:val="0"/>
        <w:pageBreakBefore w:val="0"/>
        <w:widowControl w:val="0"/>
        <w:kinsoku/>
        <w:wordWrap/>
        <w:overflowPunct/>
        <w:autoSpaceDE/>
        <w:autoSpaceDN/>
        <w:bidi w:val="0"/>
        <w:spacing w:line="240" w:lineRule="auto"/>
        <w:ind w:left="0" w:leftChars="0" w:firstLine="0" w:firstLineChars="0"/>
        <w:rPr>
          <w:rFonts w:hint="eastAsia" w:ascii="仿宋_GB2312" w:hAnsi="仿宋_GB2312" w:eastAsia="仿宋_GB2312" w:cs="仿宋_GB2312"/>
          <w:sz w:val="24"/>
        </w:rPr>
      </w:pPr>
    </w:p>
    <w:p w14:paraId="7B1A8BE0">
      <w:pPr>
        <w:keepNext w:val="0"/>
        <w:keepLines w:val="0"/>
        <w:pageBreakBefore w:val="0"/>
        <w:widowControl w:val="0"/>
        <w:kinsoku/>
        <w:wordWrap/>
        <w:overflowPunct/>
        <w:topLinePunct w:val="0"/>
        <w:autoSpaceDE/>
        <w:autoSpaceDN/>
        <w:bidi w:val="0"/>
        <w:adjustRightInd w:val="0"/>
        <w:snapToGrid w:val="0"/>
        <w:spacing w:line="800" w:lineRule="exact"/>
        <w:ind w:left="3360" w:leftChars="1400" w:firstLine="1120" w:firstLineChars="400"/>
        <w:textAlignment w:val="auto"/>
        <w:rPr>
          <w:rFonts w:hint="eastAsia" w:ascii="仿宋_GB2312" w:hAnsi="仿宋_GB2312" w:eastAsia="仿宋_GB2312" w:cs="仿宋_GB2312"/>
          <w:sz w:val="28"/>
          <w:szCs w:val="28"/>
          <w:lang w:eastAsia="zh-CN"/>
        </w:rPr>
      </w:pPr>
    </w:p>
    <w:p w14:paraId="07E35A2C">
      <w:pPr>
        <w:keepNext w:val="0"/>
        <w:keepLines w:val="0"/>
        <w:pageBreakBefore w:val="0"/>
        <w:widowControl w:val="0"/>
        <w:kinsoku/>
        <w:wordWrap/>
        <w:overflowPunct/>
        <w:topLinePunct w:val="0"/>
        <w:autoSpaceDE/>
        <w:autoSpaceDN/>
        <w:bidi w:val="0"/>
        <w:adjustRightInd w:val="0"/>
        <w:snapToGrid w:val="0"/>
        <w:spacing w:line="800" w:lineRule="exact"/>
        <w:ind w:left="3360" w:leftChars="1400" w:firstLine="1120" w:firstLineChars="4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响应单位</w:t>
      </w:r>
      <w:r>
        <w:rPr>
          <w:rFonts w:hint="eastAsia" w:ascii="仿宋_GB2312" w:hAnsi="仿宋_GB2312" w:eastAsia="仿宋_GB2312" w:cs="仿宋_GB2312"/>
          <w:sz w:val="28"/>
          <w:szCs w:val="28"/>
        </w:rPr>
        <w:t>全称（公章）：</w:t>
      </w:r>
    </w:p>
    <w:p w14:paraId="057B2F37">
      <w:pPr>
        <w:keepNext w:val="0"/>
        <w:keepLines w:val="0"/>
        <w:pageBreakBefore w:val="0"/>
        <w:widowControl w:val="0"/>
        <w:kinsoku/>
        <w:wordWrap/>
        <w:overflowPunct/>
        <w:topLinePunct w:val="0"/>
        <w:autoSpaceDE/>
        <w:autoSpaceDN/>
        <w:bidi w:val="0"/>
        <w:adjustRightInd w:val="0"/>
        <w:snapToGrid w:val="0"/>
        <w:spacing w:line="800" w:lineRule="exact"/>
        <w:ind w:left="3360" w:leftChars="1400" w:firstLine="1120" w:firstLineChars="4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法定代表人签字或签章：</w:t>
      </w:r>
    </w:p>
    <w:p w14:paraId="10D98D32">
      <w:pPr>
        <w:keepNext w:val="0"/>
        <w:keepLines w:val="0"/>
        <w:pageBreakBefore w:val="0"/>
        <w:widowControl w:val="0"/>
        <w:kinsoku/>
        <w:wordWrap/>
        <w:overflowPunct/>
        <w:topLinePunct w:val="0"/>
        <w:autoSpaceDE/>
        <w:autoSpaceDN/>
        <w:bidi w:val="0"/>
        <w:adjustRightInd w:val="0"/>
        <w:snapToGrid w:val="0"/>
        <w:spacing w:line="800" w:lineRule="exact"/>
        <w:ind w:left="3360" w:leftChars="1400" w:firstLine="1120" w:firstLineChars="4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日期：   年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 xml:space="preserve">  日</w:t>
      </w:r>
    </w:p>
    <w:p w14:paraId="54F97B45">
      <w:pPr>
        <w:topLinePunct/>
        <w:spacing w:line="560" w:lineRule="exact"/>
        <w:ind w:firstLine="560" w:firstLineChars="200"/>
        <w:jc w:val="both"/>
        <w:rPr>
          <w:rFonts w:hint="eastAsia" w:ascii="仿宋_GB2312" w:hAnsi="仿宋_GB2312" w:eastAsia="仿宋_GB2312" w:cs="仿宋_GB2312"/>
          <w:sz w:val="28"/>
          <w:szCs w:val="28"/>
        </w:rPr>
      </w:pPr>
    </w:p>
    <w:p w14:paraId="44972373">
      <w:pPr>
        <w:topLinePunct/>
        <w:spacing w:line="560" w:lineRule="exact"/>
        <w:ind w:firstLine="560" w:firstLineChars="200"/>
        <w:jc w:val="both"/>
        <w:rPr>
          <w:rFonts w:hint="eastAsia" w:ascii="黑体" w:hAnsi="黑体" w:eastAsia="黑体" w:cs="黑体"/>
          <w:b w:val="0"/>
          <w:bCs w:val="0"/>
          <w:kern w:val="0"/>
          <w:sz w:val="32"/>
          <w:szCs w:val="32"/>
          <w:lang w:val="en-US" w:eastAsia="zh-CN"/>
        </w:rPr>
      </w:pPr>
      <w:r>
        <w:rPr>
          <w:rFonts w:hint="eastAsia" w:ascii="仿宋_GB2312" w:hAnsi="仿宋_GB2312" w:eastAsia="仿宋_GB2312" w:cs="仿宋_GB2312"/>
          <w:sz w:val="28"/>
          <w:szCs w:val="28"/>
        </w:rPr>
        <w:t>注</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法定代表人参加</w:t>
      </w:r>
      <w:r>
        <w:rPr>
          <w:rFonts w:hint="eastAsia" w:ascii="仿宋_GB2312" w:hAnsi="仿宋_GB2312" w:eastAsia="仿宋_GB2312" w:cs="仿宋_GB2312"/>
          <w:sz w:val="28"/>
          <w:szCs w:val="28"/>
          <w:lang w:eastAsia="zh-CN"/>
        </w:rPr>
        <w:t>响应</w:t>
      </w:r>
      <w:r>
        <w:rPr>
          <w:rFonts w:hint="eastAsia" w:ascii="仿宋_GB2312" w:hAnsi="仿宋_GB2312" w:eastAsia="仿宋_GB2312" w:cs="仿宋_GB2312"/>
          <w:sz w:val="28"/>
          <w:szCs w:val="28"/>
        </w:rPr>
        <w:t>活动并签署文件的不需要授权委托书，只需提供法定代表人身份证明</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非法定代表人参加</w:t>
      </w:r>
      <w:r>
        <w:rPr>
          <w:rFonts w:hint="eastAsia" w:ascii="仿宋_GB2312" w:hAnsi="仿宋_GB2312" w:eastAsia="仿宋_GB2312" w:cs="仿宋_GB2312"/>
          <w:sz w:val="28"/>
          <w:szCs w:val="28"/>
          <w:lang w:eastAsia="zh-CN"/>
        </w:rPr>
        <w:t>响应</w:t>
      </w:r>
      <w:r>
        <w:rPr>
          <w:rFonts w:hint="eastAsia" w:ascii="仿宋_GB2312" w:hAnsi="仿宋_GB2312" w:eastAsia="仿宋_GB2312" w:cs="仿宋_GB2312"/>
          <w:sz w:val="28"/>
          <w:szCs w:val="28"/>
        </w:rPr>
        <w:t>活动及签署文件的除提供法定代表人身份证明外还须提供授权委托书。</w:t>
      </w:r>
    </w:p>
    <w:p w14:paraId="2C5EE7DA">
      <w:pPr>
        <w:spacing w:line="560" w:lineRule="exact"/>
        <w:jc w:val="center"/>
        <w:rPr>
          <w:rFonts w:hint="eastAsia" w:ascii="黑体" w:hAnsi="黑体" w:eastAsia="黑体" w:cs="黑体"/>
          <w:b w:val="0"/>
          <w:bCs w:val="0"/>
          <w:kern w:val="0"/>
          <w:sz w:val="32"/>
          <w:szCs w:val="32"/>
          <w:lang w:val="en-US" w:eastAsia="zh-CN"/>
        </w:rPr>
      </w:pPr>
      <w:r>
        <w:rPr>
          <w:rFonts w:hint="eastAsia" w:ascii="黑体" w:hAnsi="黑体" w:eastAsia="黑体" w:cs="黑体"/>
          <w:b w:val="0"/>
          <w:bCs w:val="0"/>
          <w:kern w:val="0"/>
          <w:sz w:val="32"/>
          <w:szCs w:val="32"/>
          <w:lang w:val="en-US" w:eastAsia="zh-CN"/>
        </w:rPr>
        <w:t>四、承诺函</w:t>
      </w:r>
    </w:p>
    <w:p w14:paraId="52B2197B">
      <w:pPr>
        <w:keepNext w:val="0"/>
        <w:keepLines w:val="0"/>
        <w:pageBreakBefore w:val="0"/>
        <w:widowControl w:val="0"/>
        <w:suppressLineNumbers w:val="0"/>
        <w:kinsoku/>
        <w:wordWrap/>
        <w:overflowPunct/>
        <w:topLinePunct w:val="0"/>
        <w:bidi w:val="0"/>
        <w:snapToGrid w:val="0"/>
        <w:spacing w:before="0" w:beforeAutospacing="0" w:after="0" w:afterAutospacing="0" w:line="560" w:lineRule="exact"/>
        <w:ind w:left="0" w:right="0" w:firstLine="0"/>
        <w:jc w:val="left"/>
        <w:textAlignment w:val="auto"/>
        <w:rPr>
          <w:rFonts w:ascii="仿宋_GB2312" w:hAnsi="仿宋_GB2312" w:eastAsia="仿宋_GB2312" w:cs="仿宋_GB2312"/>
          <w:sz w:val="28"/>
          <w:szCs w:val="28"/>
        </w:rPr>
      </w:pPr>
      <w:r>
        <w:rPr>
          <w:rFonts w:hint="eastAsia" w:ascii="Calibri" w:hAnsi="Calibri" w:eastAsia="宋体" w:cs="Times New Roman"/>
          <w:b w:val="0"/>
          <w:kern w:val="2"/>
          <w:sz w:val="21"/>
          <w:szCs w:val="21"/>
          <w:lang w:val="en-US" w:eastAsia="zh-CN" w:bidi="ar"/>
        </w:rPr>
        <w:t xml:space="preserve"> </w:t>
      </w:r>
      <w:r>
        <w:rPr>
          <w:rFonts w:hint="eastAsia" w:ascii="仿宋_GB2312" w:hAnsi="仿宋_GB2312" w:eastAsia="仿宋_GB2312" w:cs="仿宋_GB2312"/>
          <w:sz w:val="28"/>
          <w:szCs w:val="28"/>
          <w:u w:val="single"/>
          <w:lang w:val="en-US" w:eastAsia="zh-CN"/>
        </w:rPr>
        <w:t>合肥南方物流发展有限公司</w:t>
      </w:r>
      <w:r>
        <w:rPr>
          <w:rFonts w:hint="eastAsia" w:ascii="仿宋_GB2312" w:hAnsi="仿宋_GB2312" w:eastAsia="仿宋_GB2312" w:cs="仿宋_GB2312"/>
          <w:sz w:val="28"/>
          <w:szCs w:val="28"/>
        </w:rPr>
        <w:t xml:space="preserve">： </w:t>
      </w:r>
    </w:p>
    <w:p w14:paraId="645C2E83">
      <w:pPr>
        <w:keepNext w:val="0"/>
        <w:keepLines w:val="0"/>
        <w:pageBreakBefore w:val="0"/>
        <w:widowControl w:val="0"/>
        <w:numPr>
          <w:ilvl w:val="255"/>
          <w:numId w:val="0"/>
        </w:numPr>
        <w:kinsoku/>
        <w:wordWrap/>
        <w:overflowPunct/>
        <w:topLinePunct w:val="0"/>
        <w:bidi w:val="0"/>
        <w:snapToGrid w:val="0"/>
        <w:spacing w:after="0" w:line="560" w:lineRule="exact"/>
        <w:ind w:firstLine="560" w:firstLineChars="20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我公司郑重声明并承诺：</w:t>
      </w:r>
    </w:p>
    <w:p w14:paraId="5C92E754">
      <w:pPr>
        <w:keepNext w:val="0"/>
        <w:keepLines w:val="0"/>
        <w:pageBreakBefore w:val="0"/>
        <w:widowControl w:val="0"/>
        <w:numPr>
          <w:ilvl w:val="255"/>
          <w:numId w:val="0"/>
        </w:numPr>
        <w:kinsoku/>
        <w:wordWrap/>
        <w:overflowPunct/>
        <w:topLinePunct w:val="0"/>
        <w:bidi w:val="0"/>
        <w:snapToGrid w:val="0"/>
        <w:spacing w:after="0" w:line="560" w:lineRule="exact"/>
        <w:ind w:firstLine="560" w:firstLineChars="20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一、近三年（以采购文件发出之日起算向前追溯，成立时间不足三年的自成立之日起计算）我公司无以下不良信用记录情形：</w:t>
      </w:r>
    </w:p>
    <w:p w14:paraId="6E72A076">
      <w:pPr>
        <w:keepNext w:val="0"/>
        <w:keepLines w:val="0"/>
        <w:pageBreakBefore w:val="0"/>
        <w:widowControl w:val="0"/>
        <w:numPr>
          <w:ilvl w:val="255"/>
          <w:numId w:val="0"/>
        </w:numPr>
        <w:kinsoku/>
        <w:wordWrap/>
        <w:overflowPunct/>
        <w:topLinePunct w:val="0"/>
        <w:bidi w:val="0"/>
        <w:snapToGrid w:val="0"/>
        <w:spacing w:after="0" w:line="560" w:lineRule="exact"/>
        <w:ind w:firstLine="560" w:firstLineChars="20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1、公司被人民法院列入失信被执行人；</w:t>
      </w:r>
    </w:p>
    <w:p w14:paraId="2DDEF8B0">
      <w:pPr>
        <w:keepNext w:val="0"/>
        <w:keepLines w:val="0"/>
        <w:pageBreakBefore w:val="0"/>
        <w:widowControl w:val="0"/>
        <w:numPr>
          <w:ilvl w:val="255"/>
          <w:numId w:val="0"/>
        </w:numPr>
        <w:kinsoku/>
        <w:wordWrap/>
        <w:overflowPunct/>
        <w:topLinePunct w:val="0"/>
        <w:bidi w:val="0"/>
        <w:snapToGrid w:val="0"/>
        <w:spacing w:after="0" w:line="560" w:lineRule="exact"/>
        <w:ind w:firstLine="560" w:firstLineChars="20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2、公司被工商行政管理部门列入严重违法失信企业名单；</w:t>
      </w:r>
    </w:p>
    <w:p w14:paraId="0B9B4247">
      <w:pPr>
        <w:keepNext w:val="0"/>
        <w:keepLines w:val="0"/>
        <w:pageBreakBefore w:val="0"/>
        <w:widowControl w:val="0"/>
        <w:numPr>
          <w:ilvl w:val="255"/>
          <w:numId w:val="0"/>
        </w:numPr>
        <w:kinsoku/>
        <w:wordWrap/>
        <w:overflowPunct/>
        <w:topLinePunct w:val="0"/>
        <w:bidi w:val="0"/>
        <w:snapToGrid w:val="0"/>
        <w:spacing w:after="0" w:line="560" w:lineRule="exact"/>
        <w:ind w:firstLine="560" w:firstLineChars="20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3、公司被税务部门列入重大税收违法案件当事人名单；</w:t>
      </w:r>
    </w:p>
    <w:p w14:paraId="13B60F6A">
      <w:pPr>
        <w:keepNext w:val="0"/>
        <w:keepLines w:val="0"/>
        <w:pageBreakBefore w:val="0"/>
        <w:widowControl w:val="0"/>
        <w:numPr>
          <w:ilvl w:val="255"/>
          <w:numId w:val="0"/>
        </w:numPr>
        <w:kinsoku/>
        <w:wordWrap/>
        <w:overflowPunct/>
        <w:topLinePunct w:val="0"/>
        <w:bidi w:val="0"/>
        <w:snapToGrid w:val="0"/>
        <w:spacing w:after="0" w:line="560" w:lineRule="exact"/>
        <w:ind w:firstLine="560" w:firstLineChars="20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4、公司被政府采购监管部门列入政府采购严重违法失信行为记录名单；</w:t>
      </w:r>
    </w:p>
    <w:p w14:paraId="6F1634C4">
      <w:pPr>
        <w:keepNext w:val="0"/>
        <w:keepLines w:val="0"/>
        <w:pageBreakBefore w:val="0"/>
        <w:widowControl w:val="0"/>
        <w:numPr>
          <w:ilvl w:val="255"/>
          <w:numId w:val="0"/>
        </w:numPr>
        <w:kinsoku/>
        <w:wordWrap/>
        <w:overflowPunct/>
        <w:topLinePunct w:val="0"/>
        <w:bidi w:val="0"/>
        <w:snapToGrid w:val="0"/>
        <w:spacing w:after="0" w:line="560" w:lineRule="exact"/>
        <w:ind w:firstLine="560" w:firstLineChars="20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5、被责令停业、暂扣或吊销营业执照、进入清算程序或破产。</w:t>
      </w:r>
    </w:p>
    <w:p w14:paraId="06A87A4C">
      <w:pPr>
        <w:keepNext w:val="0"/>
        <w:keepLines w:val="0"/>
        <w:pageBreakBefore w:val="0"/>
        <w:widowControl w:val="0"/>
        <w:kinsoku/>
        <w:wordWrap/>
        <w:overflowPunct/>
        <w:topLinePunct w:val="0"/>
        <w:autoSpaceDE w:val="0"/>
        <w:autoSpaceDN w:val="0"/>
        <w:bidi w:val="0"/>
        <w:adjustRightInd w:val="0"/>
        <w:snapToGrid w:val="0"/>
        <w:spacing w:after="0" w:line="560" w:lineRule="exact"/>
        <w:ind w:firstLine="560" w:firstLineChars="200"/>
        <w:jc w:val="left"/>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二、</w:t>
      </w:r>
      <w:r>
        <w:rPr>
          <w:rFonts w:hint="eastAsia" w:ascii="仿宋_GB2312" w:hAnsi="仿宋_GB2312" w:eastAsia="仿宋_GB2312" w:cs="仿宋_GB2312"/>
          <w:sz w:val="28"/>
          <w:szCs w:val="28"/>
          <w:lang w:val="en-US" w:eastAsia="zh-CN"/>
        </w:rPr>
        <w:t>在本次响应中，我公司参与形式为</w:t>
      </w:r>
      <w:r>
        <w:rPr>
          <w:rFonts w:hint="eastAsia" w:ascii="仿宋_GB2312" w:hAnsi="仿宋_GB2312" w:eastAsia="仿宋_GB2312" w:cs="仿宋_GB2312"/>
          <w:b/>
          <w:bCs/>
          <w:sz w:val="28"/>
          <w:szCs w:val="28"/>
          <w:lang w:val="en-US" w:eastAsia="zh-CN"/>
        </w:rPr>
        <w:t>非联合体响应。</w:t>
      </w:r>
      <w:r>
        <w:rPr>
          <w:rFonts w:hint="eastAsia" w:ascii="仿宋_GB2312" w:hAnsi="仿宋_GB2312" w:eastAsia="仿宋_GB2312" w:cs="仿宋_GB2312"/>
          <w:sz w:val="28"/>
          <w:szCs w:val="28"/>
          <w:highlight w:val="none"/>
          <w:lang w:val="en-US" w:eastAsia="zh-CN"/>
        </w:rPr>
        <w:t>未经采购人同意不以任何方式进行分包或转包</w:t>
      </w:r>
    </w:p>
    <w:p w14:paraId="769F3705">
      <w:pPr>
        <w:keepNext w:val="0"/>
        <w:keepLines w:val="0"/>
        <w:pageBreakBefore w:val="0"/>
        <w:widowControl w:val="0"/>
        <w:kinsoku/>
        <w:wordWrap/>
        <w:overflowPunct/>
        <w:topLinePunct w:val="0"/>
        <w:autoSpaceDE w:val="0"/>
        <w:autoSpaceDN w:val="0"/>
        <w:bidi w:val="0"/>
        <w:adjustRightInd w:val="0"/>
        <w:snapToGrid w:val="0"/>
        <w:spacing w:after="0" w:line="560" w:lineRule="exact"/>
        <w:ind w:firstLine="560" w:firstLineChars="200"/>
        <w:jc w:val="left"/>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三、</w:t>
      </w:r>
      <w:r>
        <w:rPr>
          <w:rFonts w:hint="eastAsia" w:ascii="仿宋_GB2312" w:hAnsi="仿宋_GB2312" w:eastAsia="仿宋_GB2312" w:cs="仿宋_GB2312"/>
          <w:sz w:val="28"/>
          <w:szCs w:val="28"/>
          <w:lang w:val="en-US" w:eastAsia="zh-CN"/>
        </w:rPr>
        <w:t>我公司不存在与其他响应单位</w:t>
      </w:r>
      <w:r>
        <w:rPr>
          <w:rFonts w:hint="eastAsia" w:ascii="仿宋_GB2312" w:hAnsi="仿宋_GB2312" w:eastAsia="仿宋_GB2312" w:cs="仿宋_GB2312"/>
          <w:sz w:val="28"/>
          <w:szCs w:val="28"/>
          <w:highlight w:val="none"/>
          <w:lang w:val="en-US" w:eastAsia="zh-CN"/>
        </w:rPr>
        <w:t>负责人</w:t>
      </w:r>
      <w:r>
        <w:rPr>
          <w:rFonts w:hint="eastAsia" w:ascii="仿宋_GB2312" w:hAnsi="仿宋_GB2312" w:eastAsia="仿宋_GB2312" w:cs="仿宋_GB2312"/>
          <w:b/>
          <w:bCs/>
          <w:sz w:val="28"/>
          <w:szCs w:val="28"/>
          <w:highlight w:val="none"/>
          <w:lang w:val="en-US" w:eastAsia="zh-CN"/>
        </w:rPr>
        <w:t>为同一人或者存在控股、管理关系等具有关联关系的情形</w:t>
      </w:r>
      <w:r>
        <w:rPr>
          <w:rFonts w:hint="eastAsia" w:ascii="仿宋_GB2312" w:hAnsi="仿宋_GB2312" w:eastAsia="仿宋_GB2312" w:cs="仿宋_GB2312"/>
          <w:sz w:val="28"/>
          <w:szCs w:val="28"/>
          <w:highlight w:val="none"/>
          <w:lang w:val="en-US" w:eastAsia="zh-CN"/>
        </w:rPr>
        <w:t>。</w:t>
      </w:r>
    </w:p>
    <w:p w14:paraId="7B51A0B5">
      <w:pPr>
        <w:keepNext w:val="0"/>
        <w:keepLines w:val="0"/>
        <w:pageBreakBefore w:val="0"/>
        <w:widowControl w:val="0"/>
        <w:numPr>
          <w:ilvl w:val="0"/>
          <w:numId w:val="0"/>
        </w:numPr>
        <w:kinsoku/>
        <w:wordWrap/>
        <w:overflowPunct/>
        <w:topLinePunct w:val="0"/>
        <w:autoSpaceDE w:val="0"/>
        <w:autoSpaceDN w:val="0"/>
        <w:bidi w:val="0"/>
        <w:adjustRightInd w:val="0"/>
        <w:snapToGrid w:val="0"/>
        <w:spacing w:after="0" w:line="560" w:lineRule="exact"/>
        <w:ind w:firstLine="560" w:firstLineChars="200"/>
        <w:jc w:val="left"/>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四、我公司未与其他响应单位相互串通响应报价，未排挤其他响应单位的公平竞争、损害采购人的合法权益，中标后将按照合同约定履行义务，完成中标项目。</w:t>
      </w:r>
    </w:p>
    <w:p w14:paraId="2E855F90">
      <w:pPr>
        <w:keepNext w:val="0"/>
        <w:keepLines w:val="0"/>
        <w:pageBreakBefore w:val="0"/>
        <w:widowControl w:val="0"/>
        <w:kinsoku/>
        <w:wordWrap/>
        <w:overflowPunct/>
        <w:topLinePunct w:val="0"/>
        <w:autoSpaceDE w:val="0"/>
        <w:autoSpaceDN w:val="0"/>
        <w:bidi w:val="0"/>
        <w:adjustRightInd w:val="0"/>
        <w:snapToGrid w:val="0"/>
        <w:spacing w:after="0" w:line="560" w:lineRule="exact"/>
        <w:ind w:firstLine="560" w:firstLineChars="200"/>
        <w:jc w:val="left"/>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如我公司承诺与实际不符（无论中标前或中标后），我公司愿意无条件接受贵司监管部门作出的处理、处罚。贵方可取消我公司响应资格或者中标资格，所有责任由我公司自行承担。</w:t>
      </w:r>
    </w:p>
    <w:p w14:paraId="2F300E8E">
      <w:pPr>
        <w:keepNext w:val="0"/>
        <w:keepLines w:val="0"/>
        <w:pageBreakBefore w:val="0"/>
        <w:numPr>
          <w:ilvl w:val="255"/>
          <w:numId w:val="0"/>
        </w:numPr>
        <w:kinsoku/>
        <w:wordWrap w:val="0"/>
        <w:overflowPunct/>
        <w:topLinePunct w:val="0"/>
        <w:bidi w:val="0"/>
        <w:spacing w:after="0" w:line="560" w:lineRule="exact"/>
        <w:ind w:firstLine="0" w:firstLineChars="0"/>
        <w:jc w:val="righ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响应单位</w:t>
      </w:r>
      <w:r>
        <w:rPr>
          <w:rFonts w:hint="eastAsia" w:ascii="仿宋_GB2312" w:hAnsi="仿宋_GB2312" w:eastAsia="仿宋_GB2312" w:cs="仿宋_GB2312"/>
          <w:sz w:val="28"/>
          <w:szCs w:val="28"/>
        </w:rPr>
        <w:t>全称（公章）：</w:t>
      </w:r>
      <w:r>
        <w:rPr>
          <w:rFonts w:hint="eastAsia" w:ascii="仿宋_GB2312" w:hAnsi="仿宋_GB2312" w:eastAsia="仿宋_GB2312" w:cs="仿宋_GB2312"/>
          <w:sz w:val="28"/>
          <w:szCs w:val="28"/>
          <w:lang w:val="en-US" w:eastAsia="zh-CN"/>
        </w:rPr>
        <w:t xml:space="preserve">           </w:t>
      </w:r>
    </w:p>
    <w:p w14:paraId="08EAA331">
      <w:pPr>
        <w:pStyle w:val="2"/>
        <w:rPr>
          <w:rFonts w:hint="eastAsia" w:ascii="仿宋_GB2312" w:hAnsi="仿宋_GB2312" w:eastAsia="仿宋_GB2312" w:cs="仿宋_GB2312"/>
          <w:sz w:val="28"/>
          <w:szCs w:val="28"/>
        </w:rPr>
      </w:pPr>
    </w:p>
    <w:p w14:paraId="78A5AC2A">
      <w:pPr>
        <w:ind w:left="0" w:leftChars="0" w:firstLine="0" w:firstLineChars="0"/>
        <w:rPr>
          <w:rFonts w:ascii="Times New Roman" w:hAnsi="Times New Roman" w:eastAsia="黑体"/>
          <w:b/>
          <w:sz w:val="28"/>
        </w:rPr>
      </w:pPr>
    </w:p>
    <w:p w14:paraId="3358A4BF">
      <w:pPr>
        <w:ind w:left="0" w:leftChars="0" w:firstLine="0" w:firstLineChars="0"/>
      </w:pPr>
      <w:r>
        <w:rPr>
          <w:rFonts w:ascii="Times New Roman" w:hAnsi="Times New Roman" w:eastAsia="黑体"/>
          <w:b/>
          <w:sz w:val="28"/>
        </w:rPr>
        <w:t>五、服务方案</w:t>
      </w:r>
    </w:p>
    <w:p w14:paraId="2FA7E382">
      <w:pPr>
        <w:keepNext w:val="0"/>
        <w:keepLines w:val="0"/>
        <w:pageBreakBefore w:val="0"/>
        <w:widowControl w:val="0"/>
        <w:kinsoku/>
        <w:wordWrap/>
        <w:overflowPunct/>
        <w:topLinePunct w:val="0"/>
        <w:autoSpaceDE w:val="0"/>
        <w:autoSpaceDN w:val="0"/>
        <w:bidi w:val="0"/>
        <w:adjustRightInd w:val="0"/>
        <w:snapToGrid w:val="0"/>
        <w:spacing w:line="560" w:lineRule="exact"/>
        <w:ind w:firstLine="560" w:firstLineChars="200"/>
        <w:jc w:val="left"/>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供应商可简要说明以下内容：</w:t>
      </w:r>
    </w:p>
    <w:p w14:paraId="1B01A0A7">
      <w:pPr>
        <w:keepNext w:val="0"/>
        <w:keepLines w:val="0"/>
        <w:pageBreakBefore w:val="0"/>
        <w:widowControl w:val="0"/>
        <w:kinsoku/>
        <w:wordWrap/>
        <w:overflowPunct/>
        <w:topLinePunct w:val="0"/>
        <w:autoSpaceDE w:val="0"/>
        <w:autoSpaceDN w:val="0"/>
        <w:bidi w:val="0"/>
        <w:adjustRightInd w:val="0"/>
        <w:snapToGrid w:val="0"/>
        <w:spacing w:line="560" w:lineRule="exact"/>
        <w:ind w:firstLine="560" w:firstLineChars="200"/>
        <w:jc w:val="left"/>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1. 家具配置及各品类单价情况说明；</w:t>
      </w:r>
    </w:p>
    <w:p w14:paraId="4493FE84">
      <w:pPr>
        <w:keepNext w:val="0"/>
        <w:keepLines w:val="0"/>
        <w:pageBreakBefore w:val="0"/>
        <w:widowControl w:val="0"/>
        <w:kinsoku/>
        <w:wordWrap/>
        <w:overflowPunct/>
        <w:topLinePunct w:val="0"/>
        <w:autoSpaceDE w:val="0"/>
        <w:autoSpaceDN w:val="0"/>
        <w:bidi w:val="0"/>
        <w:adjustRightInd w:val="0"/>
        <w:snapToGrid w:val="0"/>
        <w:spacing w:line="560" w:lineRule="exact"/>
        <w:ind w:firstLine="560" w:firstLineChars="200"/>
        <w:jc w:val="left"/>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2. 维修响应安排。</w:t>
      </w:r>
    </w:p>
    <w:p w14:paraId="69EE698D">
      <w:pPr>
        <w:keepNext w:val="0"/>
        <w:keepLines w:val="0"/>
        <w:pageBreakBefore w:val="0"/>
        <w:widowControl w:val="0"/>
        <w:kinsoku/>
        <w:wordWrap/>
        <w:overflowPunct/>
        <w:topLinePunct w:val="0"/>
        <w:autoSpaceDE w:val="0"/>
        <w:autoSpaceDN w:val="0"/>
        <w:bidi w:val="0"/>
        <w:adjustRightInd w:val="0"/>
        <w:snapToGrid w:val="0"/>
        <w:spacing w:line="560" w:lineRule="exact"/>
        <w:ind w:firstLine="560" w:firstLineChars="200"/>
        <w:jc w:val="left"/>
        <w:textAlignment w:val="auto"/>
        <w:rPr>
          <w:rFonts w:hint="eastAsia" w:ascii="仿宋_GB2312" w:hAnsi="仿宋_GB2312" w:eastAsia="仿宋_GB2312" w:cs="仿宋_GB2312"/>
          <w:sz w:val="28"/>
          <w:szCs w:val="28"/>
          <w:highlight w:val="none"/>
          <w:lang w:val="en-US" w:eastAsia="zh-CN"/>
        </w:rPr>
      </w:pPr>
    </w:p>
    <w:sectPr>
      <w:pgSz w:w="11906" w:h="16838"/>
      <w:pgMar w:top="1417" w:right="1417" w:bottom="1417" w:left="141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仓耳章鱼小丸子体 W01"/>
    <w:panose1 w:val="00000000000000000000"/>
    <w:charset w:val="80"/>
    <w:family w:val="roman"/>
    <w:pitch w:val="default"/>
    <w:sig w:usb0="00000000" w:usb1="00000000" w:usb2="00000010" w:usb3="00000000" w:csb0="00020000" w:csb1="00000000"/>
  </w:font>
  <w:font w:name="仓耳章鱼小丸子体 W01">
    <w:panose1 w:val="02020400000000000000"/>
    <w:charset w:val="80"/>
    <w:family w:val="auto"/>
    <w:pitch w:val="default"/>
    <w:sig w:usb0="800002BF" w:usb1="184F64F8" w:usb2="00000012" w:usb3="00000000" w:csb0="00020001"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DejaVu Math TeX Gyre"/>
    <w:panose1 w:val="02000500000000000000"/>
    <w:charset w:val="00"/>
    <w:family w:val="auto"/>
    <w:pitch w:val="default"/>
    <w:sig w:usb0="00000000" w:usb1="00000000" w:usb2="00000000" w:usb3="00000000" w:csb0="00000001" w:csb1="00000000"/>
  </w:font>
  <w:font w:name="DejaVu Math TeX Gyre">
    <w:panose1 w:val="02000503000000000000"/>
    <w:charset w:val="00"/>
    <w:family w:val="auto"/>
    <w:pitch w:val="default"/>
    <w:sig w:usb0="A10000EF" w:usb1="4201F9EE" w:usb2="02000000" w:usb3="00000000" w:csb0="60000193" w:csb1="0DD4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DF6E84F"/>
    <w:multiLevelType w:val="singleLevel"/>
    <w:tmpl w:val="EDF6E84F"/>
    <w:lvl w:ilvl="0" w:tentative="0">
      <w:start w:val="2"/>
      <w:numFmt w:val="chineseCounting"/>
      <w:suff w:val="nothing"/>
      <w:lvlText w:val="%1、"/>
      <w:lvlJc w:val="left"/>
      <w:rPr>
        <w:rFonts w:hint="eastAsia"/>
      </w:rPr>
    </w:lvl>
  </w:abstractNum>
  <w:abstractNum w:abstractNumId="1">
    <w:nsid w:val="FFFFFF7E"/>
    <w:multiLevelType w:val="singleLevel"/>
    <w:tmpl w:val="FFFFFF7E"/>
    <w:lvl w:ilvl="0" w:tentative="0">
      <w:start w:val="1"/>
      <w:numFmt w:val="decimal"/>
      <w:pStyle w:val="21"/>
      <w:lvlText w:val="%1."/>
      <w:lvlJc w:val="left"/>
      <w:pPr>
        <w:tabs>
          <w:tab w:val="left" w:pos="1080"/>
        </w:tabs>
        <w:ind w:left="1080" w:hanging="360"/>
      </w:pPr>
    </w:lvl>
  </w:abstractNum>
  <w:abstractNum w:abstractNumId="2">
    <w:nsid w:val="FFFFFF7F"/>
    <w:multiLevelType w:val="singleLevel"/>
    <w:tmpl w:val="FFFFFF7F"/>
    <w:lvl w:ilvl="0" w:tentative="0">
      <w:start w:val="1"/>
      <w:numFmt w:val="decimal"/>
      <w:pStyle w:val="14"/>
      <w:lvlText w:val="%1."/>
      <w:lvlJc w:val="left"/>
      <w:pPr>
        <w:tabs>
          <w:tab w:val="left" w:pos="720"/>
        </w:tabs>
        <w:ind w:left="720" w:hanging="360"/>
      </w:pPr>
    </w:lvl>
  </w:abstractNum>
  <w:abstractNum w:abstractNumId="3">
    <w:nsid w:val="FFFFFF82"/>
    <w:multiLevelType w:val="singleLevel"/>
    <w:tmpl w:val="FFFFFF82"/>
    <w:lvl w:ilvl="0" w:tentative="0">
      <w:start w:val="1"/>
      <w:numFmt w:val="bullet"/>
      <w:pStyle w:val="20"/>
      <w:lvlText w:val=""/>
      <w:lvlJc w:val="left"/>
      <w:pPr>
        <w:tabs>
          <w:tab w:val="left" w:pos="1080"/>
        </w:tabs>
        <w:ind w:left="1080" w:hanging="360"/>
      </w:pPr>
      <w:rPr>
        <w:rFonts w:hint="default" w:ascii="Symbol" w:hAnsi="Symbol"/>
      </w:rPr>
    </w:lvl>
  </w:abstractNum>
  <w:abstractNum w:abstractNumId="4">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5">
    <w:nsid w:val="FFFFFF88"/>
    <w:multiLevelType w:val="singleLevel"/>
    <w:tmpl w:val="FFFFFF88"/>
    <w:lvl w:ilvl="0" w:tentative="0">
      <w:start w:val="1"/>
      <w:numFmt w:val="decimal"/>
      <w:pStyle w:val="15"/>
      <w:lvlText w:val="%1."/>
      <w:lvlJc w:val="left"/>
      <w:pPr>
        <w:tabs>
          <w:tab w:val="left" w:pos="360"/>
        </w:tabs>
        <w:ind w:left="360" w:hanging="360"/>
      </w:pPr>
    </w:lvl>
  </w:abstractNum>
  <w:abstractNum w:abstractNumId="6">
    <w:nsid w:val="FFFFFF89"/>
    <w:multiLevelType w:val="singleLevel"/>
    <w:tmpl w:val="FFFFFF89"/>
    <w:lvl w:ilvl="0" w:tentative="0">
      <w:start w:val="1"/>
      <w:numFmt w:val="bullet"/>
      <w:pStyle w:val="17"/>
      <w:lvlText w:val=""/>
      <w:lvlJc w:val="left"/>
      <w:pPr>
        <w:tabs>
          <w:tab w:val="left" w:pos="360"/>
        </w:tabs>
        <w:ind w:left="360" w:hanging="360"/>
      </w:pPr>
      <w:rPr>
        <w:rFonts w:hint="default" w:ascii="Symbol" w:hAnsi="Symbol"/>
      </w:rPr>
    </w:lvl>
  </w:abstractNum>
  <w:num w:numId="1">
    <w:abstractNumId w:val="2"/>
  </w:num>
  <w:num w:numId="2">
    <w:abstractNumId w:val="5"/>
  </w:num>
  <w:num w:numId="3">
    <w:abstractNumId w:val="6"/>
  </w:num>
  <w:num w:numId="4">
    <w:abstractNumId w:val="3"/>
  </w:num>
  <w:num w:numId="5">
    <w:abstractNumId w:val="1"/>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trackRevisions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A2D6620"/>
    <w:rsid w:val="0A740EC6"/>
    <w:rsid w:val="0AED7922"/>
    <w:rsid w:val="150A2827"/>
    <w:rsid w:val="17F71189"/>
    <w:rsid w:val="37A58940"/>
    <w:rsid w:val="3DC7B81F"/>
    <w:rsid w:val="43BA373D"/>
    <w:rsid w:val="538F72CD"/>
    <w:rsid w:val="5BE56CC8"/>
    <w:rsid w:val="5FF7C7F8"/>
    <w:rsid w:val="67631200"/>
    <w:rsid w:val="716D750F"/>
    <w:rsid w:val="760654BA"/>
    <w:rsid w:val="79E7D0A2"/>
    <w:rsid w:val="7E5C0827"/>
    <w:rsid w:val="7E7543E6"/>
    <w:rsid w:val="7FF5A306"/>
    <w:rsid w:val="7FFC8DD2"/>
    <w:rsid w:val="BFF56C46"/>
    <w:rsid w:val="CFDF03DE"/>
    <w:rsid w:val="DBFF8759"/>
    <w:rsid w:val="DF9CE510"/>
    <w:rsid w:val="E9F736DC"/>
    <w:rsid w:val="EBFAA654"/>
    <w:rsid w:val="EDA7A881"/>
    <w:rsid w:val="EF5FC6B1"/>
    <w:rsid w:val="EF9B1D53"/>
    <w:rsid w:val="F37F711B"/>
    <w:rsid w:val="F7DF198D"/>
    <w:rsid w:val="F7FF4B99"/>
    <w:rsid w:val="F8BD40E0"/>
    <w:rsid w:val="FF7FF47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14:defaultImageDpi w14:val="300"/>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next w:val="2"/>
    <w:qFormat/>
    <w:uiPriority w:val="0"/>
    <w:pPr>
      <w:spacing w:after="200" w:line="360" w:lineRule="auto"/>
      <w:ind w:firstLine="480"/>
    </w:pPr>
    <w:rPr>
      <w:rFonts w:ascii="Times New Roman" w:hAnsi="Times New Roman" w:eastAsia="宋体" w:cstheme="minorBidi"/>
      <w:sz w:val="24"/>
      <w:szCs w:val="22"/>
      <w:lang w:val="en-US" w:eastAsia="en-US" w:bidi="ar-SA"/>
    </w:rPr>
  </w:style>
  <w:style w:type="paragraph" w:styleId="4">
    <w:name w:val="heading 1"/>
    <w:basedOn w:val="1"/>
    <w:next w:val="1"/>
    <w:link w:val="142"/>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5">
    <w:name w:val="heading 2"/>
    <w:basedOn w:val="1"/>
    <w:next w:val="1"/>
    <w:link w:val="143"/>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6">
    <w:name w:val="heading 3"/>
    <w:basedOn w:val="1"/>
    <w:next w:val="1"/>
    <w:link w:val="144"/>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7">
    <w:name w:val="heading 4"/>
    <w:basedOn w:val="1"/>
    <w:next w:val="1"/>
    <w:link w:val="154"/>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8">
    <w:name w:val="heading 5"/>
    <w:basedOn w:val="1"/>
    <w:next w:val="1"/>
    <w:link w:val="155"/>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9">
    <w:name w:val="heading 6"/>
    <w:basedOn w:val="1"/>
    <w:next w:val="1"/>
    <w:link w:val="156"/>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10">
    <w:name w:val="heading 7"/>
    <w:basedOn w:val="1"/>
    <w:next w:val="1"/>
    <w:link w:val="157"/>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1">
    <w:name w:val="heading 8"/>
    <w:basedOn w:val="1"/>
    <w:next w:val="1"/>
    <w:link w:val="158"/>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2">
    <w:name w:val="heading 9"/>
    <w:basedOn w:val="1"/>
    <w:next w:val="1"/>
    <w:link w:val="159"/>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6">
    <w:name w:val="Default Paragraph Font"/>
    <w:semiHidden/>
    <w:unhideWhenUsed/>
    <w:qFormat/>
    <w:uiPriority w:val="1"/>
  </w:style>
  <w:style w:type="table" w:default="1" w:styleId="36">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148"/>
    <w:unhideWhenUsed/>
    <w:qFormat/>
    <w:uiPriority w:val="99"/>
    <w:pPr>
      <w:spacing w:after="120"/>
    </w:pPr>
  </w:style>
  <w:style w:type="paragraph" w:styleId="3">
    <w:name w:val="macro"/>
    <w:link w:val="151"/>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3">
    <w:name w:val="List 3"/>
    <w:basedOn w:val="1"/>
    <w:unhideWhenUsed/>
    <w:qFormat/>
    <w:uiPriority w:val="99"/>
    <w:pPr>
      <w:ind w:left="1080" w:hanging="360"/>
      <w:contextualSpacing/>
    </w:pPr>
  </w:style>
  <w:style w:type="paragraph" w:styleId="14">
    <w:name w:val="List Number 2"/>
    <w:basedOn w:val="1"/>
    <w:unhideWhenUsed/>
    <w:qFormat/>
    <w:uiPriority w:val="99"/>
    <w:pPr>
      <w:numPr>
        <w:ilvl w:val="0"/>
        <w:numId w:val="1"/>
      </w:numPr>
      <w:contextualSpacing/>
    </w:pPr>
  </w:style>
  <w:style w:type="paragraph" w:styleId="15">
    <w:name w:val="List Number"/>
    <w:basedOn w:val="1"/>
    <w:unhideWhenUsed/>
    <w:qFormat/>
    <w:uiPriority w:val="99"/>
    <w:pPr>
      <w:numPr>
        <w:ilvl w:val="0"/>
        <w:numId w:val="2"/>
      </w:numPr>
      <w:contextualSpacing/>
    </w:pPr>
  </w:style>
  <w:style w:type="paragraph" w:styleId="16">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7">
    <w:name w:val="List Bullet"/>
    <w:basedOn w:val="1"/>
    <w:unhideWhenUsed/>
    <w:qFormat/>
    <w:uiPriority w:val="99"/>
    <w:pPr>
      <w:numPr>
        <w:ilvl w:val="0"/>
        <w:numId w:val="3"/>
      </w:numPr>
      <w:contextualSpacing/>
    </w:pPr>
  </w:style>
  <w:style w:type="paragraph" w:styleId="18">
    <w:name w:val="annotation text"/>
    <w:basedOn w:val="1"/>
    <w:semiHidden/>
    <w:unhideWhenUsed/>
    <w:qFormat/>
    <w:uiPriority w:val="99"/>
    <w:pPr>
      <w:jc w:val="left"/>
    </w:pPr>
  </w:style>
  <w:style w:type="paragraph" w:styleId="19">
    <w:name w:val="Body Text 3"/>
    <w:basedOn w:val="1"/>
    <w:link w:val="150"/>
    <w:unhideWhenUsed/>
    <w:qFormat/>
    <w:uiPriority w:val="99"/>
    <w:pPr>
      <w:spacing w:after="120"/>
    </w:pPr>
    <w:rPr>
      <w:sz w:val="16"/>
      <w:szCs w:val="16"/>
    </w:rPr>
  </w:style>
  <w:style w:type="paragraph" w:styleId="20">
    <w:name w:val="List Bullet 3"/>
    <w:basedOn w:val="1"/>
    <w:unhideWhenUsed/>
    <w:qFormat/>
    <w:uiPriority w:val="99"/>
    <w:pPr>
      <w:numPr>
        <w:ilvl w:val="0"/>
        <w:numId w:val="4"/>
      </w:numPr>
      <w:contextualSpacing/>
    </w:pPr>
  </w:style>
  <w:style w:type="paragraph" w:styleId="21">
    <w:name w:val="List Number 3"/>
    <w:basedOn w:val="1"/>
    <w:unhideWhenUsed/>
    <w:qFormat/>
    <w:uiPriority w:val="99"/>
    <w:pPr>
      <w:numPr>
        <w:ilvl w:val="0"/>
        <w:numId w:val="5"/>
      </w:numPr>
      <w:contextualSpacing/>
    </w:pPr>
  </w:style>
  <w:style w:type="paragraph" w:styleId="22">
    <w:name w:val="List 2"/>
    <w:basedOn w:val="1"/>
    <w:unhideWhenUsed/>
    <w:qFormat/>
    <w:uiPriority w:val="99"/>
    <w:pPr>
      <w:ind w:left="720" w:hanging="360"/>
      <w:contextualSpacing/>
    </w:pPr>
  </w:style>
  <w:style w:type="paragraph" w:styleId="23">
    <w:name w:val="List Continue"/>
    <w:basedOn w:val="1"/>
    <w:unhideWhenUsed/>
    <w:qFormat/>
    <w:uiPriority w:val="99"/>
    <w:pPr>
      <w:spacing w:after="120"/>
      <w:ind w:left="360"/>
      <w:contextualSpacing/>
    </w:pPr>
  </w:style>
  <w:style w:type="paragraph" w:styleId="24">
    <w:name w:val="List Bullet 2"/>
    <w:basedOn w:val="1"/>
    <w:unhideWhenUsed/>
    <w:qFormat/>
    <w:uiPriority w:val="99"/>
    <w:pPr>
      <w:numPr>
        <w:ilvl w:val="0"/>
        <w:numId w:val="6"/>
      </w:numPr>
      <w:contextualSpacing/>
    </w:pPr>
  </w:style>
  <w:style w:type="paragraph" w:styleId="25">
    <w:name w:val="Plain Text"/>
    <w:basedOn w:val="1"/>
    <w:qFormat/>
    <w:uiPriority w:val="0"/>
    <w:rPr>
      <w:rFonts w:ascii="宋体" w:hAnsi="Courier New"/>
    </w:rPr>
  </w:style>
  <w:style w:type="paragraph" w:styleId="26">
    <w:name w:val="footer"/>
    <w:basedOn w:val="1"/>
    <w:link w:val="140"/>
    <w:unhideWhenUsed/>
    <w:qFormat/>
    <w:uiPriority w:val="99"/>
    <w:pPr>
      <w:tabs>
        <w:tab w:val="center" w:pos="4680"/>
        <w:tab w:val="right" w:pos="9360"/>
      </w:tabs>
      <w:spacing w:after="0" w:line="240" w:lineRule="auto"/>
    </w:pPr>
  </w:style>
  <w:style w:type="paragraph" w:styleId="27">
    <w:name w:val="header"/>
    <w:basedOn w:val="1"/>
    <w:link w:val="139"/>
    <w:unhideWhenUsed/>
    <w:qFormat/>
    <w:uiPriority w:val="99"/>
    <w:pPr>
      <w:tabs>
        <w:tab w:val="center" w:pos="4680"/>
        <w:tab w:val="right" w:pos="9360"/>
      </w:tabs>
      <w:spacing w:after="0" w:line="240" w:lineRule="auto"/>
    </w:pPr>
  </w:style>
  <w:style w:type="paragraph" w:styleId="28">
    <w:name w:val="toc 1"/>
    <w:basedOn w:val="1"/>
    <w:next w:val="1"/>
    <w:semiHidden/>
    <w:unhideWhenUsed/>
    <w:qFormat/>
    <w:uiPriority w:val="39"/>
  </w:style>
  <w:style w:type="paragraph" w:styleId="29">
    <w:name w:val="Subtitle"/>
    <w:basedOn w:val="1"/>
    <w:next w:val="1"/>
    <w:link w:val="14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30">
    <w:name w:val="List"/>
    <w:basedOn w:val="1"/>
    <w:unhideWhenUsed/>
    <w:qFormat/>
    <w:uiPriority w:val="99"/>
    <w:pPr>
      <w:ind w:left="360" w:hanging="360"/>
      <w:contextualSpacing/>
    </w:pPr>
  </w:style>
  <w:style w:type="paragraph" w:styleId="31">
    <w:name w:val="Body Text 2"/>
    <w:basedOn w:val="1"/>
    <w:link w:val="149"/>
    <w:unhideWhenUsed/>
    <w:qFormat/>
    <w:uiPriority w:val="99"/>
    <w:pPr>
      <w:spacing w:after="120" w:line="480" w:lineRule="auto"/>
    </w:pPr>
  </w:style>
  <w:style w:type="paragraph" w:styleId="32">
    <w:name w:val="List Continue 2"/>
    <w:basedOn w:val="1"/>
    <w:unhideWhenUsed/>
    <w:qFormat/>
    <w:uiPriority w:val="99"/>
    <w:pPr>
      <w:spacing w:after="120"/>
      <w:ind w:left="720"/>
      <w:contextualSpacing/>
    </w:pPr>
  </w:style>
  <w:style w:type="paragraph" w:styleId="33">
    <w:name w:val="List Continue 3"/>
    <w:basedOn w:val="1"/>
    <w:unhideWhenUsed/>
    <w:qFormat/>
    <w:uiPriority w:val="99"/>
    <w:pPr>
      <w:spacing w:after="120"/>
      <w:ind w:left="1080"/>
      <w:contextualSpacing/>
    </w:pPr>
  </w:style>
  <w:style w:type="paragraph" w:styleId="34">
    <w:name w:val="Title"/>
    <w:basedOn w:val="1"/>
    <w:next w:val="1"/>
    <w:link w:val="145"/>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paragraph" w:styleId="35">
    <w:name w:val="Body Text First Indent"/>
    <w:basedOn w:val="2"/>
    <w:qFormat/>
    <w:uiPriority w:val="0"/>
    <w:pPr>
      <w:autoSpaceDE w:val="0"/>
      <w:autoSpaceDN w:val="0"/>
      <w:adjustRightInd w:val="0"/>
      <w:spacing w:after="0" w:line="360" w:lineRule="auto"/>
      <w:ind w:right="-24" w:rightChars="-10" w:firstLine="425" w:firstLineChars="225"/>
    </w:pPr>
    <w:rPr>
      <w:rFonts w:ascii="Arial" w:hAnsi="Arial" w:eastAsia="仿宋_GB2312" w:cs="Arial"/>
      <w:sz w:val="24"/>
      <w:szCs w:val="32"/>
    </w:rPr>
  </w:style>
  <w:style w:type="table" w:styleId="37">
    <w:name w:val="Table Grid"/>
    <w:basedOn w:val="36"/>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8">
    <w:name w:val="Light Shading"/>
    <w:basedOn w:val="36"/>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9">
    <w:name w:val="Light Shading Accent 1"/>
    <w:basedOn w:val="36"/>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40">
    <w:name w:val="Light Shading Accent 2"/>
    <w:basedOn w:val="36"/>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1">
    <w:name w:val="Light Shading Accent 3"/>
    <w:basedOn w:val="36"/>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2">
    <w:name w:val="Light Shading Accent 4"/>
    <w:basedOn w:val="36"/>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3">
    <w:name w:val="Light Shading Accent 5"/>
    <w:basedOn w:val="36"/>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4">
    <w:name w:val="Light Shading Accent 6"/>
    <w:basedOn w:val="36"/>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5">
    <w:name w:val="Light List"/>
    <w:basedOn w:val="36"/>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6">
    <w:name w:val="Light List Accent 1"/>
    <w:basedOn w:val="36"/>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7">
    <w:name w:val="Light List Accent 2"/>
    <w:basedOn w:val="36"/>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8">
    <w:name w:val="Light List Accent 3"/>
    <w:basedOn w:val="36"/>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9">
    <w:name w:val="Light List Accent 4"/>
    <w:basedOn w:val="36"/>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50">
    <w:name w:val="Light List Accent 5"/>
    <w:basedOn w:val="36"/>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1">
    <w:name w:val="Light List Accent 6"/>
    <w:basedOn w:val="36"/>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2">
    <w:name w:val="Light Grid"/>
    <w:basedOn w:val="36"/>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3">
    <w:name w:val="Light Grid Accent 1"/>
    <w:basedOn w:val="36"/>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4">
    <w:name w:val="Light Grid Accent 2"/>
    <w:basedOn w:val="36"/>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5">
    <w:name w:val="Light Grid Accent 3"/>
    <w:basedOn w:val="36"/>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6">
    <w:name w:val="Light Grid Accent 4"/>
    <w:basedOn w:val="36"/>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7">
    <w:name w:val="Light Grid Accent 5"/>
    <w:basedOn w:val="36"/>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8">
    <w:name w:val="Light Grid Accent 6"/>
    <w:basedOn w:val="36"/>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9">
    <w:name w:val="Medium Shading 1"/>
    <w:basedOn w:val="36"/>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60">
    <w:name w:val="Medium Shading 1 Accent 1"/>
    <w:basedOn w:val="36"/>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1">
    <w:name w:val="Medium Shading 1 Accent 2"/>
    <w:basedOn w:val="36"/>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2">
    <w:name w:val="Medium Shading 1 Accent 3"/>
    <w:basedOn w:val="36"/>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3">
    <w:name w:val="Medium Shading 1 Accent 4"/>
    <w:basedOn w:val="36"/>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4">
    <w:name w:val="Medium Shading 1 Accent 5"/>
    <w:basedOn w:val="36"/>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5">
    <w:name w:val="Medium Shading 1 Accent 6"/>
    <w:basedOn w:val="36"/>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6">
    <w:name w:val="Medium Shading 2"/>
    <w:basedOn w:val="36"/>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1"/>
    <w:basedOn w:val="36"/>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2"/>
    <w:basedOn w:val="36"/>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3"/>
    <w:basedOn w:val="36"/>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4"/>
    <w:basedOn w:val="36"/>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5"/>
    <w:basedOn w:val="36"/>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Shading 2 Accent 6"/>
    <w:basedOn w:val="36"/>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3">
    <w:name w:val="Medium List 1"/>
    <w:basedOn w:val="36"/>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4">
    <w:name w:val="Medium List 1 Accent 1"/>
    <w:basedOn w:val="36"/>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5">
    <w:name w:val="Medium List 1 Accent 2"/>
    <w:basedOn w:val="36"/>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6">
    <w:name w:val="Medium List 1 Accent 3"/>
    <w:basedOn w:val="36"/>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7">
    <w:name w:val="Medium List 1 Accent 4"/>
    <w:basedOn w:val="36"/>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8">
    <w:name w:val="Medium List 1 Accent 5"/>
    <w:basedOn w:val="36"/>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9">
    <w:name w:val="Medium List 1 Accent 6"/>
    <w:basedOn w:val="36"/>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80">
    <w:name w:val="Medium List 2"/>
    <w:basedOn w:val="36"/>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1"/>
    <w:basedOn w:val="36"/>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2"/>
    <w:basedOn w:val="36"/>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3"/>
    <w:basedOn w:val="36"/>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4"/>
    <w:basedOn w:val="36"/>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5"/>
    <w:basedOn w:val="36"/>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List 2 Accent 6"/>
    <w:basedOn w:val="36"/>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7">
    <w:name w:val="Medium Grid 1"/>
    <w:basedOn w:val="36"/>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8">
    <w:name w:val="Medium Grid 1 Accent 1"/>
    <w:basedOn w:val="36"/>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9">
    <w:name w:val="Medium Grid 1 Accent 2"/>
    <w:basedOn w:val="36"/>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90">
    <w:name w:val="Medium Grid 1 Accent 3"/>
    <w:basedOn w:val="36"/>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1">
    <w:name w:val="Medium Grid 1 Accent 4"/>
    <w:basedOn w:val="36"/>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2">
    <w:name w:val="Medium Grid 1 Accent 5"/>
    <w:basedOn w:val="36"/>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3">
    <w:name w:val="Medium Grid 1 Accent 6"/>
    <w:basedOn w:val="36"/>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4">
    <w:name w:val="Medium Grid 2"/>
    <w:basedOn w:val="36"/>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5">
    <w:name w:val="Medium Grid 2 Accent 1"/>
    <w:basedOn w:val="36"/>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6">
    <w:name w:val="Medium Grid 2 Accent 2"/>
    <w:basedOn w:val="36"/>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7">
    <w:name w:val="Medium Grid 2 Accent 3"/>
    <w:basedOn w:val="36"/>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8">
    <w:name w:val="Medium Grid 2 Accent 4"/>
    <w:basedOn w:val="36"/>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9">
    <w:name w:val="Medium Grid 2 Accent 5"/>
    <w:basedOn w:val="36"/>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100">
    <w:name w:val="Medium Grid 2 Accent 6"/>
    <w:basedOn w:val="36"/>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1">
    <w:name w:val="Medium Grid 3"/>
    <w:basedOn w:val="36"/>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2">
    <w:name w:val="Medium Grid 3 Accent 1"/>
    <w:basedOn w:val="36"/>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3">
    <w:name w:val="Medium Grid 3 Accent 2"/>
    <w:basedOn w:val="36"/>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4">
    <w:name w:val="Medium Grid 3 Accent 3"/>
    <w:basedOn w:val="36"/>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5">
    <w:name w:val="Medium Grid 3 Accent 4"/>
    <w:basedOn w:val="36"/>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6">
    <w:name w:val="Medium Grid 3 Accent 5"/>
    <w:basedOn w:val="36"/>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7">
    <w:name w:val="Medium Grid 3 Accent 6"/>
    <w:basedOn w:val="36"/>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8">
    <w:name w:val="Dark List"/>
    <w:basedOn w:val="36"/>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9">
    <w:name w:val="Dark List Accent 1"/>
    <w:basedOn w:val="36"/>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10">
    <w:name w:val="Dark List Accent 2"/>
    <w:basedOn w:val="36"/>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1">
    <w:name w:val="Dark List Accent 3"/>
    <w:basedOn w:val="36"/>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2">
    <w:name w:val="Dark List Accent 4"/>
    <w:basedOn w:val="36"/>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3">
    <w:name w:val="Dark List Accent 5"/>
    <w:basedOn w:val="36"/>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4">
    <w:name w:val="Dark List Accent 6"/>
    <w:basedOn w:val="36"/>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5">
    <w:name w:val="Colorful Shading"/>
    <w:basedOn w:val="36"/>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1"/>
    <w:basedOn w:val="36"/>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2"/>
    <w:basedOn w:val="36"/>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3"/>
    <w:basedOn w:val="36"/>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9">
    <w:name w:val="Colorful Shading Accent 4"/>
    <w:basedOn w:val="36"/>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5"/>
    <w:basedOn w:val="36"/>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Shading Accent 6"/>
    <w:basedOn w:val="36"/>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2">
    <w:name w:val="Colorful List"/>
    <w:basedOn w:val="36"/>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3">
    <w:name w:val="Colorful List Accent 1"/>
    <w:basedOn w:val="36"/>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4">
    <w:name w:val="Colorful List Accent 2"/>
    <w:basedOn w:val="36"/>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5">
    <w:name w:val="Colorful List Accent 3"/>
    <w:basedOn w:val="36"/>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6">
    <w:name w:val="Colorful List Accent 4"/>
    <w:basedOn w:val="36"/>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7">
    <w:name w:val="Colorful List Accent 5"/>
    <w:basedOn w:val="36"/>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8">
    <w:name w:val="Colorful List Accent 6"/>
    <w:basedOn w:val="36"/>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9">
    <w:name w:val="Colorful Grid"/>
    <w:basedOn w:val="36"/>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30">
    <w:name w:val="Colorful Grid Accent 1"/>
    <w:basedOn w:val="36"/>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1">
    <w:name w:val="Colorful Grid Accent 2"/>
    <w:basedOn w:val="36"/>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2">
    <w:name w:val="Colorful Grid Accent 3"/>
    <w:basedOn w:val="36"/>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3">
    <w:name w:val="Colorful Grid Accent 4"/>
    <w:basedOn w:val="36"/>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4">
    <w:name w:val="Colorful Grid Accent 5"/>
    <w:basedOn w:val="36"/>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5">
    <w:name w:val="Colorful Grid Accent 6"/>
    <w:basedOn w:val="36"/>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7">
    <w:name w:val="Strong"/>
    <w:basedOn w:val="136"/>
    <w:qFormat/>
    <w:uiPriority w:val="22"/>
    <w:rPr>
      <w:b/>
      <w:bCs/>
    </w:rPr>
  </w:style>
  <w:style w:type="character" w:styleId="138">
    <w:name w:val="Emphasis"/>
    <w:basedOn w:val="136"/>
    <w:qFormat/>
    <w:uiPriority w:val="20"/>
    <w:rPr>
      <w:i/>
      <w:iCs/>
    </w:rPr>
  </w:style>
  <w:style w:type="character" w:customStyle="1" w:styleId="139">
    <w:name w:val="Header Char"/>
    <w:basedOn w:val="136"/>
    <w:link w:val="27"/>
    <w:qFormat/>
    <w:uiPriority w:val="99"/>
  </w:style>
  <w:style w:type="character" w:customStyle="1" w:styleId="140">
    <w:name w:val="Footer Char"/>
    <w:basedOn w:val="136"/>
    <w:link w:val="26"/>
    <w:qFormat/>
    <w:uiPriority w:val="99"/>
  </w:style>
  <w:style w:type="paragraph" w:styleId="141">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42">
    <w:name w:val="Heading 1 Char"/>
    <w:basedOn w:val="136"/>
    <w:link w:val="4"/>
    <w:qFormat/>
    <w:uiPriority w:val="9"/>
    <w:rPr>
      <w:rFonts w:asciiTheme="majorHAnsi" w:hAnsiTheme="majorHAnsi" w:eastAsiaTheme="majorEastAsia" w:cstheme="majorBidi"/>
      <w:b/>
      <w:bCs/>
      <w:color w:val="376092" w:themeColor="accent1" w:themeShade="BF"/>
      <w:sz w:val="28"/>
      <w:szCs w:val="28"/>
    </w:rPr>
  </w:style>
  <w:style w:type="character" w:customStyle="1" w:styleId="143">
    <w:name w:val="Heading 2 Char"/>
    <w:basedOn w:val="136"/>
    <w:link w:val="5"/>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4">
    <w:name w:val="Heading 3 Char"/>
    <w:basedOn w:val="136"/>
    <w:link w:val="6"/>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5">
    <w:name w:val="Title Char"/>
    <w:basedOn w:val="136"/>
    <w:link w:val="34"/>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6">
    <w:name w:val="Subtitle Char"/>
    <w:basedOn w:val="136"/>
    <w:link w:val="29"/>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7">
    <w:name w:val="List Paragraph"/>
    <w:basedOn w:val="1"/>
    <w:qFormat/>
    <w:uiPriority w:val="34"/>
    <w:pPr>
      <w:ind w:left="720"/>
      <w:contextualSpacing/>
    </w:pPr>
  </w:style>
  <w:style w:type="character" w:customStyle="1" w:styleId="148">
    <w:name w:val="Body Text Char"/>
    <w:basedOn w:val="136"/>
    <w:link w:val="2"/>
    <w:qFormat/>
    <w:uiPriority w:val="99"/>
  </w:style>
  <w:style w:type="character" w:customStyle="1" w:styleId="149">
    <w:name w:val="Body Text 2 Char"/>
    <w:basedOn w:val="136"/>
    <w:link w:val="31"/>
    <w:qFormat/>
    <w:uiPriority w:val="99"/>
  </w:style>
  <w:style w:type="character" w:customStyle="1" w:styleId="150">
    <w:name w:val="Body Text 3 Char"/>
    <w:basedOn w:val="136"/>
    <w:link w:val="19"/>
    <w:qFormat/>
    <w:uiPriority w:val="99"/>
    <w:rPr>
      <w:sz w:val="16"/>
      <w:szCs w:val="16"/>
    </w:rPr>
  </w:style>
  <w:style w:type="character" w:customStyle="1" w:styleId="151">
    <w:name w:val="Macro Text Char"/>
    <w:basedOn w:val="136"/>
    <w:link w:val="3"/>
    <w:qFormat/>
    <w:uiPriority w:val="99"/>
    <w:rPr>
      <w:rFonts w:ascii="Courier" w:hAnsi="Courier"/>
      <w:sz w:val="20"/>
      <w:szCs w:val="20"/>
    </w:rPr>
  </w:style>
  <w:style w:type="paragraph" w:styleId="152">
    <w:name w:val="Quote"/>
    <w:basedOn w:val="1"/>
    <w:next w:val="1"/>
    <w:link w:val="153"/>
    <w:qFormat/>
    <w:uiPriority w:val="29"/>
    <w:rPr>
      <w:i/>
      <w:iCs/>
      <w:color w:val="000000" w:themeColor="text1"/>
      <w14:textFill>
        <w14:solidFill>
          <w14:schemeClr w14:val="tx1"/>
        </w14:solidFill>
      </w14:textFill>
    </w:rPr>
  </w:style>
  <w:style w:type="character" w:customStyle="1" w:styleId="153">
    <w:name w:val="Quote Char"/>
    <w:basedOn w:val="136"/>
    <w:link w:val="152"/>
    <w:qFormat/>
    <w:uiPriority w:val="29"/>
    <w:rPr>
      <w:i/>
      <w:iCs/>
      <w:color w:val="000000" w:themeColor="text1"/>
      <w14:textFill>
        <w14:solidFill>
          <w14:schemeClr w14:val="tx1"/>
        </w14:solidFill>
      </w14:textFill>
    </w:rPr>
  </w:style>
  <w:style w:type="character" w:customStyle="1" w:styleId="154">
    <w:name w:val="Heading 4 Char"/>
    <w:basedOn w:val="136"/>
    <w:link w:val="7"/>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5">
    <w:name w:val="Heading 5 Char"/>
    <w:basedOn w:val="136"/>
    <w:link w:val="8"/>
    <w:semiHidden/>
    <w:qFormat/>
    <w:uiPriority w:val="9"/>
    <w:rPr>
      <w:rFonts w:asciiTheme="majorHAnsi" w:hAnsiTheme="majorHAnsi" w:eastAsiaTheme="majorEastAsia" w:cstheme="majorBidi"/>
      <w:color w:val="254061" w:themeColor="accent1" w:themeShade="80"/>
    </w:rPr>
  </w:style>
  <w:style w:type="character" w:customStyle="1" w:styleId="156">
    <w:name w:val="Heading 6 Char"/>
    <w:basedOn w:val="136"/>
    <w:link w:val="9"/>
    <w:semiHidden/>
    <w:qFormat/>
    <w:uiPriority w:val="9"/>
    <w:rPr>
      <w:rFonts w:asciiTheme="majorHAnsi" w:hAnsiTheme="majorHAnsi" w:eastAsiaTheme="majorEastAsia" w:cstheme="majorBidi"/>
      <w:i/>
      <w:iCs/>
      <w:color w:val="254061" w:themeColor="accent1" w:themeShade="80"/>
    </w:rPr>
  </w:style>
  <w:style w:type="character" w:customStyle="1" w:styleId="157">
    <w:name w:val="Heading 7 Char"/>
    <w:basedOn w:val="136"/>
    <w:link w:val="10"/>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8">
    <w:name w:val="Heading 8 Char"/>
    <w:basedOn w:val="136"/>
    <w:link w:val="11"/>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9">
    <w:name w:val="Heading 9 Char"/>
    <w:basedOn w:val="136"/>
    <w:link w:val="12"/>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60">
    <w:name w:val="Intense Quote"/>
    <w:basedOn w:val="1"/>
    <w:next w:val="1"/>
    <w:link w:val="161"/>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61">
    <w:name w:val="Intense Quote Char"/>
    <w:basedOn w:val="136"/>
    <w:link w:val="160"/>
    <w:qFormat/>
    <w:uiPriority w:val="30"/>
    <w:rPr>
      <w:b/>
      <w:bCs/>
      <w:i/>
      <w:iCs/>
      <w:color w:val="4F81BD" w:themeColor="accent1"/>
      <w14:textFill>
        <w14:solidFill>
          <w14:schemeClr w14:val="accent1"/>
        </w14:solidFill>
      </w14:textFill>
    </w:rPr>
  </w:style>
  <w:style w:type="character" w:customStyle="1" w:styleId="162">
    <w:name w:val="Subtle Emphasis"/>
    <w:basedOn w:val="136"/>
    <w:qFormat/>
    <w:uiPriority w:val="19"/>
    <w:rPr>
      <w:i/>
      <w:iCs/>
      <w:color w:val="808080" w:themeColor="text1" w:themeTint="80"/>
      <w14:textFill>
        <w14:solidFill>
          <w14:schemeClr w14:val="tx1">
            <w14:lumMod w14:val="50000"/>
            <w14:lumOff w14:val="50000"/>
          </w14:schemeClr>
        </w14:solidFill>
      </w14:textFill>
    </w:rPr>
  </w:style>
  <w:style w:type="character" w:customStyle="1" w:styleId="163">
    <w:name w:val="Intense Emphasis"/>
    <w:basedOn w:val="136"/>
    <w:qFormat/>
    <w:uiPriority w:val="21"/>
    <w:rPr>
      <w:b/>
      <w:bCs/>
      <w:i/>
      <w:iCs/>
      <w:color w:val="4F81BD" w:themeColor="accent1"/>
      <w14:textFill>
        <w14:solidFill>
          <w14:schemeClr w14:val="accent1"/>
        </w14:solidFill>
      </w14:textFill>
    </w:rPr>
  </w:style>
  <w:style w:type="character" w:customStyle="1" w:styleId="164">
    <w:name w:val="Subtle Reference"/>
    <w:basedOn w:val="136"/>
    <w:qFormat/>
    <w:uiPriority w:val="31"/>
    <w:rPr>
      <w:smallCaps/>
      <w:color w:val="C0504D" w:themeColor="accent2"/>
      <w:u w:val="single"/>
      <w14:textFill>
        <w14:solidFill>
          <w14:schemeClr w14:val="accent2"/>
        </w14:solidFill>
      </w14:textFill>
    </w:rPr>
  </w:style>
  <w:style w:type="character" w:customStyle="1" w:styleId="165">
    <w:name w:val="Intense Reference"/>
    <w:basedOn w:val="136"/>
    <w:qFormat/>
    <w:uiPriority w:val="32"/>
    <w:rPr>
      <w:b/>
      <w:bCs/>
      <w:smallCaps/>
      <w:color w:val="C0504D" w:themeColor="accent2"/>
      <w:spacing w:val="5"/>
      <w:u w:val="single"/>
      <w14:textFill>
        <w14:solidFill>
          <w14:schemeClr w14:val="accent2"/>
        </w14:solidFill>
      </w14:textFill>
    </w:rPr>
  </w:style>
  <w:style w:type="character" w:customStyle="1" w:styleId="166">
    <w:name w:val="Book Title"/>
    <w:basedOn w:val="136"/>
    <w:qFormat/>
    <w:uiPriority w:val="33"/>
    <w:rPr>
      <w:b/>
      <w:bCs/>
      <w:smallCaps/>
      <w:spacing w:val="5"/>
    </w:rPr>
  </w:style>
  <w:style w:type="paragraph" w:customStyle="1" w:styleId="167">
    <w:name w:val="TOC Heading"/>
    <w:basedOn w:val="4"/>
    <w:next w:val="1"/>
    <w:semiHidden/>
    <w:unhideWhenUsed/>
    <w:qFormat/>
    <w:uiPriority w:val="39"/>
    <w:pPr>
      <w:outlineLvl w:val="9"/>
    </w:pPr>
  </w:style>
  <w:style w:type="paragraph" w:customStyle="1" w:styleId="168">
    <w:name w:val="WPSOffice手动目录 1"/>
    <w:qFormat/>
    <w:uiPriority w:val="0"/>
    <w:pPr>
      <w:ind w:leftChars="0"/>
    </w:pPr>
    <w:rPr>
      <w:rFonts w:asciiTheme="minorHAnsi" w:hAnsiTheme="minorHAnsi" w:eastAsiaTheme="minorEastAsia" w:cstheme="minorBidi"/>
      <w:sz w:val="20"/>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tyleName="APA" SelectedStyle="/APA.XSL"/>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22</Pages>
  <Words>3571</Words>
  <Characters>3796</Characters>
  <Lines>0</Lines>
  <Paragraphs>0</Paragraphs>
  <TotalTime>94</TotalTime>
  <ScaleCrop>false</ScaleCrop>
  <LinksUpToDate>false</LinksUpToDate>
  <CharactersWithSpaces>3904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2013-12-28T07:15:00Z</dcterms:created>
  <dc:creator>python-docx</dc:creator>
  <dc:description>generated by python-docx</dc:description>
  <cp:lastModifiedBy>王杨</cp:lastModifiedBy>
  <dcterms:modified xsi:type="dcterms:W3CDTF">2026-10-12T11:42:13Z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D9763A178ED12D5ED785CC6A79605F62_43</vt:lpwstr>
  </property>
  <property fmtid="{D5CDD505-2E9C-101B-9397-08002B2CF9AE}" pid="4" name="KSOTemplateDocerSaveRecord">
    <vt:lpwstr>eyJoZGlkIjoiOTM5MjY4YmE1OWJlNzEwNTgxZTBhOWNjZGJhOWU3NzgiLCJ1c2VySWQiOiIzNjAxNjEyNzEifQ==</vt:lpwstr>
  </property>
</Properties>
</file>